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6F2C" w14:textId="48E18F3A" w:rsidR="000501E4" w:rsidRDefault="000501E4" w:rsidP="000501E4">
      <w:pPr>
        <w:pStyle w:val="Overskrift2"/>
        <w:shd w:val="clear" w:color="auto" w:fill="FFFFFF"/>
        <w:rPr>
          <w:color w:val="323E46"/>
        </w:rPr>
      </w:pPr>
      <w:r>
        <w:rPr>
          <w:color w:val="323E46"/>
        </w:rPr>
        <w:t xml:space="preserve">U18 Beramming og saksforberedelse </w:t>
      </w:r>
    </w:p>
    <w:p w14:paraId="104073A6" w14:textId="77777777" w:rsidR="000501E4" w:rsidRPr="000501E4" w:rsidRDefault="000501E4" w:rsidP="000501E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6"/>
        <w:gridCol w:w="4695"/>
      </w:tblGrid>
      <w:tr w:rsidR="000501E4" w14:paraId="6B4F97AC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99D3CF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Formål: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5F8A76" w14:textId="78FAFC98" w:rsidR="000501E4" w:rsidRDefault="00BD4041" w:rsidP="00BD4041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Fonts w:ascii="Hind" w:hAnsi="Hind"/>
                <w:color w:val="323E46"/>
                <w:sz w:val="21"/>
                <w:szCs w:val="21"/>
              </w:rPr>
              <w:t>Rask berammelse og god saksforberedelse i U18 saker</w:t>
            </w:r>
          </w:p>
        </w:tc>
      </w:tr>
      <w:tr w:rsidR="000501E4" w14:paraId="159065A3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77A9446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Sterk"/>
                <w:color w:val="323E46"/>
                <w:sz w:val="21"/>
                <w:szCs w:val="21"/>
              </w:rPr>
              <w:t>Utarbeidet: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9725C2" w14:textId="3FDF7D05" w:rsidR="000501E4" w:rsidRDefault="000501E4" w:rsidP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28.10.22</w:t>
            </w:r>
          </w:p>
        </w:tc>
      </w:tr>
      <w:tr w:rsidR="000501E4" w14:paraId="2EC01CB1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F97CFBE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Sist oppdatert / gjennomgått: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098855" w14:textId="7BCC01FA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</w:p>
        </w:tc>
      </w:tr>
      <w:tr w:rsidR="000501E4" w14:paraId="77D2464C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B1976CA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Neste planlagte gjennomgang: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EED79C" w14:textId="130FF001" w:rsidR="000501E4" w:rsidRDefault="000501E4" w:rsidP="00BD4041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Januar 202</w:t>
            </w:r>
            <w:r w:rsidR="00BD4041">
              <w:rPr>
                <w:rStyle w:val="Sterk"/>
                <w:color w:val="323E46"/>
                <w:sz w:val="21"/>
                <w:szCs w:val="21"/>
              </w:rPr>
              <w:t>4</w:t>
            </w:r>
          </w:p>
        </w:tc>
      </w:tr>
      <w:tr w:rsidR="000501E4" w14:paraId="018F85DF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DFCE83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Ansvarlig: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027001" w14:textId="6841C553" w:rsidR="000501E4" w:rsidRDefault="000501E4" w:rsidP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Straffesaksavdelingen</w:t>
            </w:r>
            <w:r>
              <w:rPr>
                <w:rFonts w:ascii="Hind" w:hAnsi="Hind"/>
                <w:color w:val="323E46"/>
                <w:sz w:val="21"/>
                <w:szCs w:val="21"/>
              </w:rPr>
              <w:t> </w:t>
            </w:r>
          </w:p>
        </w:tc>
      </w:tr>
      <w:tr w:rsidR="000501E4" w14:paraId="03135599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0F75A1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Saksansvarlig: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20957B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 Anne Margrethe Lund</w:t>
            </w:r>
          </w:p>
        </w:tc>
      </w:tr>
      <w:tr w:rsidR="000501E4" w14:paraId="6425BC48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C76DC1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Epost: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8CA4E2B" w14:textId="77777777" w:rsidR="000501E4" w:rsidRDefault="00AA7EE5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hyperlink r:id="rId5" w:history="1">
              <w:r w:rsidR="000501E4">
                <w:rPr>
                  <w:rStyle w:val="Hyperkobling"/>
                  <w:rFonts w:ascii="Hind" w:hAnsi="Hind"/>
                  <w:b/>
                  <w:bCs/>
                  <w:sz w:val="21"/>
                  <w:szCs w:val="21"/>
                </w:rPr>
                <w:t>Anne.margrethe.lund@domstol.no</w:t>
              </w:r>
            </w:hyperlink>
            <w:r w:rsidR="000501E4">
              <w:rPr>
                <w:rStyle w:val="Sterk"/>
                <w:color w:val="323E46"/>
                <w:sz w:val="21"/>
                <w:szCs w:val="21"/>
              </w:rPr>
              <w:t xml:space="preserve"> </w:t>
            </w:r>
          </w:p>
        </w:tc>
      </w:tr>
      <w:tr w:rsidR="000501E4" w14:paraId="6A07BB7E" w14:textId="77777777" w:rsidTr="000501E4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6B50F3E" w14:textId="77777777" w:rsidR="000501E4" w:rsidRDefault="000501E4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Style w:val="Sterk"/>
                <w:color w:val="323E46"/>
                <w:sz w:val="21"/>
                <w:szCs w:val="21"/>
              </w:rPr>
              <w:t>Sammenheng med andre retningslinjer:      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B168561" w14:textId="5594A2AD" w:rsidR="000501E4" w:rsidRDefault="00BD4041">
            <w:pPr>
              <w:spacing w:line="300" w:lineRule="atLeast"/>
              <w:rPr>
                <w:rFonts w:ascii="Hind" w:hAnsi="Hind"/>
                <w:color w:val="323E46"/>
                <w:sz w:val="21"/>
                <w:szCs w:val="21"/>
              </w:rPr>
            </w:pPr>
            <w:r>
              <w:rPr>
                <w:rFonts w:ascii="Hind" w:hAnsi="Hind"/>
                <w:color w:val="323E46"/>
                <w:sz w:val="21"/>
                <w:szCs w:val="21"/>
              </w:rPr>
              <w:br/>
              <w:t xml:space="preserve">Beramme fristsaker - § 275 </w:t>
            </w:r>
            <w:r w:rsidR="000501E4">
              <w:rPr>
                <w:rFonts w:ascii="Hind" w:hAnsi="Hind"/>
                <w:color w:val="323E46"/>
                <w:sz w:val="21"/>
                <w:szCs w:val="21"/>
              </w:rPr>
              <w:t> </w:t>
            </w:r>
            <w:r w:rsidR="000501E4">
              <w:rPr>
                <w:rFonts w:ascii="Hind" w:hAnsi="Hind"/>
                <w:color w:val="323E46"/>
                <w:sz w:val="21"/>
                <w:szCs w:val="21"/>
              </w:rPr>
              <w:br/>
              <w:t>Saksforberedelse store straffesaker</w:t>
            </w:r>
          </w:p>
        </w:tc>
      </w:tr>
    </w:tbl>
    <w:p w14:paraId="6119CF06" w14:textId="77777777" w:rsidR="009A799F" w:rsidRDefault="009A799F" w:rsidP="002360BC">
      <w:pPr>
        <w:rPr>
          <w:rFonts w:ascii="Times New Roman" w:hAnsi="Times New Roman" w:cs="Times New Roman"/>
          <w:b/>
          <w:sz w:val="24"/>
          <w:szCs w:val="24"/>
          <w:lang w:eastAsia="nb-NO"/>
        </w:rPr>
      </w:pPr>
    </w:p>
    <w:p w14:paraId="38ED1299" w14:textId="77777777" w:rsidR="009A799F" w:rsidRDefault="009A799F" w:rsidP="002360BC">
      <w:pPr>
        <w:rPr>
          <w:rFonts w:ascii="Times New Roman" w:hAnsi="Times New Roman" w:cs="Times New Roman"/>
          <w:b/>
          <w:sz w:val="24"/>
          <w:szCs w:val="24"/>
          <w:lang w:eastAsia="nb-NO"/>
        </w:rPr>
      </w:pPr>
    </w:p>
    <w:p w14:paraId="6A47AE1B" w14:textId="77777777" w:rsidR="009A799F" w:rsidRDefault="009A799F" w:rsidP="002360BC">
      <w:pPr>
        <w:rPr>
          <w:rFonts w:ascii="Times New Roman" w:hAnsi="Times New Roman" w:cs="Times New Roman"/>
          <w:b/>
          <w:sz w:val="24"/>
          <w:szCs w:val="24"/>
          <w:lang w:eastAsia="nb-NO"/>
        </w:rPr>
      </w:pPr>
    </w:p>
    <w:p w14:paraId="4848A66D" w14:textId="79EF3EC3" w:rsidR="002360BC" w:rsidRPr="0084505C" w:rsidRDefault="002360BC" w:rsidP="002360BC">
      <w:pPr>
        <w:rPr>
          <w:rFonts w:ascii="Times New Roman" w:hAnsi="Times New Roman" w:cs="Times New Roman"/>
          <w:b/>
          <w:sz w:val="24"/>
          <w:szCs w:val="24"/>
          <w:lang w:eastAsia="nb-NO"/>
        </w:rPr>
      </w:pPr>
      <w:r w:rsidRPr="0084505C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1.  Innregistrering </w:t>
      </w:r>
      <w:proofErr w:type="spellStart"/>
      <w:r w:rsidRPr="0084505C">
        <w:rPr>
          <w:rFonts w:ascii="Times New Roman" w:hAnsi="Times New Roman" w:cs="Times New Roman"/>
          <w:b/>
          <w:sz w:val="24"/>
          <w:szCs w:val="24"/>
          <w:lang w:eastAsia="nb-NO"/>
        </w:rPr>
        <w:t>m.v</w:t>
      </w:r>
      <w:proofErr w:type="spellEnd"/>
      <w:r w:rsidRPr="0084505C">
        <w:rPr>
          <w:rFonts w:ascii="Times New Roman" w:hAnsi="Times New Roman" w:cs="Times New Roman"/>
          <w:b/>
          <w:sz w:val="24"/>
          <w:szCs w:val="24"/>
          <w:lang w:eastAsia="nb-NO"/>
        </w:rPr>
        <w:t>.</w:t>
      </w:r>
    </w:p>
    <w:p w14:paraId="26257472" w14:textId="77777777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Saker kommer inn på Stifinner. Begjæring om forhåndsberamming kommer inn pr. mail.</w:t>
      </w:r>
    </w:p>
    <w:p w14:paraId="05F112E2" w14:textId="77777777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Innregistreres i Lovisa av Rita/stedfortreder. </w:t>
      </w:r>
    </w:p>
    <w:p w14:paraId="0C6E16EF" w14:textId="6BC7E38B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Saken legges inn på liste over fristsaker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. Dersom saken er 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 xml:space="preserve">10 rettsdager eller mer, 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legges den også inn på liste over store straffesaker og 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>det sendes mail til Anne Margrethe</w:t>
      </w:r>
      <w:r w:rsidR="001F3451">
        <w:rPr>
          <w:rFonts w:ascii="Times New Roman" w:hAnsi="Times New Roman" w:cs="Times New Roman"/>
          <w:sz w:val="24"/>
          <w:szCs w:val="24"/>
          <w:lang w:eastAsia="nb-NO"/>
        </w:rPr>
        <w:t>.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 xml:space="preserve"> </w:t>
      </w:r>
      <w:r w:rsidR="001F3451">
        <w:rPr>
          <w:rFonts w:ascii="Times New Roman" w:hAnsi="Times New Roman" w:cs="Times New Roman"/>
          <w:sz w:val="24"/>
          <w:szCs w:val="24"/>
          <w:lang w:eastAsia="nb-NO"/>
        </w:rPr>
        <w:t xml:space="preserve">Åsa Bech er 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>saksforberedende dommer</w:t>
      </w:r>
      <w:r w:rsidR="001F3451">
        <w:rPr>
          <w:rFonts w:ascii="Times New Roman" w:hAnsi="Times New Roman" w:cs="Times New Roman"/>
          <w:sz w:val="24"/>
          <w:szCs w:val="24"/>
          <w:lang w:eastAsia="nb-NO"/>
        </w:rPr>
        <w:t xml:space="preserve"> i U18-saker hvor det skal settes av 10 dager eller mer i retten. </w:t>
      </w:r>
      <w:r w:rsidR="001F3451">
        <w:rPr>
          <w:rFonts w:ascii="Times New Roman" w:hAnsi="Times New Roman" w:cs="Times New Roman"/>
          <w:sz w:val="24"/>
          <w:szCs w:val="24"/>
          <w:lang w:eastAsia="nb-NO"/>
        </w:rPr>
        <w:br/>
      </w:r>
      <w:r w:rsidR="001F3451">
        <w:rPr>
          <w:rFonts w:ascii="Times New Roman" w:hAnsi="Times New Roman" w:cs="Times New Roman"/>
          <w:sz w:val="24"/>
          <w:szCs w:val="24"/>
          <w:lang w:eastAsia="nb-NO"/>
        </w:rPr>
        <w:br/>
        <w:t>D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>et noteres i notatfeltet hvilken avdelingsleder som er ansvarlig for beslutning om berammelse etter straffeprosessloven § 2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75 annet ledd. I U18-saker er dette alltid Anne Margrethe Lund eller Ina Strømstad. </w:t>
      </w:r>
    </w:p>
    <w:p w14:paraId="76729674" w14:textId="77777777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Oppgaven "vurder innkommet stifinnersak" gjøres ferdig.</w:t>
      </w:r>
    </w:p>
    <w:p w14:paraId="2502D2DC" w14:textId="77777777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Oppgaven "Registrer sak" sendes innkurv "Nye Med", med opplysning om tidsavsetting, aktor</w:t>
      </w:r>
      <w:r>
        <w:rPr>
          <w:rFonts w:ascii="Times New Roman" w:hAnsi="Times New Roman" w:cs="Times New Roman"/>
          <w:sz w:val="24"/>
          <w:szCs w:val="24"/>
          <w:lang w:eastAsia="nb-NO"/>
        </w:rPr>
        <w:t>/enhet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 xml:space="preserve"> og forsvarer.</w:t>
      </w:r>
    </w:p>
    <w:p w14:paraId="785FF8FE" w14:textId="77777777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Saken fordeles til saksbehandler, som</w:t>
      </w:r>
      <w:r>
        <w:rPr>
          <w:rFonts w:ascii="Times New Roman" w:hAnsi="Times New Roman" w:cs="Times New Roman"/>
          <w:sz w:val="24"/>
          <w:szCs w:val="24"/>
          <w:lang w:eastAsia="nb-NO"/>
        </w:rPr>
        <w:t>:</w:t>
      </w:r>
    </w:p>
    <w:p w14:paraId="14E01586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På spørsmål om saken er «prioritert» svares det ja</w:t>
      </w:r>
    </w:p>
    <w:p w14:paraId="73A662DC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 xml:space="preserve">Kontrollerer 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>om sakens aktører og vitner som fremgår av bevisoppgaven stemmer med det som er lagt inn i aktørfanen via Stifinner </w:t>
      </w:r>
    </w:p>
    <w:p w14:paraId="512B8011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lastRenderedPageBreak/>
        <w:t>Søk opp historikken til tiltalte og fornærmede med bistandsadvokat for å se hvem de har vært representert av tidligere. Dette gjøres for å sikre at det ikke har skjedd advokatbytte som ikke er fanget opp i påtegningen til aktor. </w:t>
      </w:r>
    </w:p>
    <w:p w14:paraId="0CDCE69E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 w:rsidRPr="00970B86">
        <w:rPr>
          <w:rFonts w:ascii="Times New Roman" w:hAnsi="Times New Roman" w:cs="Times New Roman"/>
          <w:sz w:val="24"/>
          <w:szCs w:val="24"/>
          <w:lang w:eastAsia="nb-NO"/>
        </w:rPr>
        <w:t>Motstrid: ved flere advokater fra samme kontor, hør med aktor om det er et problem</w:t>
      </w:r>
    </w:p>
    <w:p w14:paraId="1187F818" w14:textId="77777777" w:rsidR="002360BC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>Dersom de tiltalte har vært varetektsfengslet; bruk</w:t>
      </w:r>
      <w:r w:rsidRPr="00970B86">
        <w:rPr>
          <w:rFonts w:ascii="Times New Roman" w:hAnsi="Times New Roman" w:cs="Times New Roman"/>
          <w:sz w:val="24"/>
          <w:szCs w:val="24"/>
          <w:lang w:eastAsia="nb-NO"/>
        </w:rPr>
        <w:t xml:space="preserve"> notatfeltet i Lovisa til å legge inn fengslingsdommere og andre dommere som aktor opplyser har hatt med saken å gjøre.</w:t>
      </w:r>
    </w:p>
    <w:p w14:paraId="28456924" w14:textId="77777777" w:rsidR="000E3E12" w:rsidRDefault="000E3E12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>Sender mail til aktor hvis påtegningen ikke inneholder opplysninger om PUM (se mal for påtegning fra politiet).</w:t>
      </w:r>
    </w:p>
    <w:p w14:paraId="09DF5B4E" w14:textId="77777777" w:rsidR="002007C6" w:rsidRDefault="002007C6" w:rsidP="002007C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>Sender mail til aktor og</w:t>
      </w:r>
      <w:r w:rsidRPr="002007C6">
        <w:rPr>
          <w:rFonts w:ascii="Times New Roman" w:hAnsi="Times New Roman" w:cs="Times New Roman"/>
          <w:sz w:val="24"/>
          <w:szCs w:val="24"/>
          <w:lang w:eastAsia="nb-NO"/>
        </w:rPr>
        <w:t xml:space="preserve"> spør om noen av vitnene er under 18 hvis det ikke alt fremgår av bevisoppgave, p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åtegning eller på annen måte. Dette gjelder ikke dersom det er åpenbart at vitner ikke er under 18 (for eksempel politi, vektere </w:t>
      </w:r>
      <w:proofErr w:type="spellStart"/>
      <w:r>
        <w:rPr>
          <w:rFonts w:ascii="Times New Roman" w:hAnsi="Times New Roman" w:cs="Times New Roman"/>
          <w:sz w:val="24"/>
          <w:szCs w:val="24"/>
          <w:lang w:eastAsia="nb-NO"/>
        </w:rPr>
        <w:t>o.l</w:t>
      </w:r>
      <w:proofErr w:type="spellEnd"/>
      <w:r>
        <w:rPr>
          <w:rFonts w:ascii="Times New Roman" w:hAnsi="Times New Roman" w:cs="Times New Roman"/>
          <w:sz w:val="24"/>
          <w:szCs w:val="24"/>
          <w:lang w:eastAsia="nb-NO"/>
        </w:rPr>
        <w:t xml:space="preserve">) </w:t>
      </w:r>
    </w:p>
    <w:p w14:paraId="58BE6EEA" w14:textId="7139977C" w:rsidR="000E3E12" w:rsidRPr="002007C6" w:rsidRDefault="000E3E12" w:rsidP="002007C6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  <w:lang w:eastAsia="nb-NO"/>
        </w:rPr>
        <w:t xml:space="preserve">Kontrollerer at påtalemyndigheten har satt frist for eventuell bistandsadvokat å fremme sivile krav, jf. straffeprosessloven § 264 b og frist for  å foreslå supplerende bevisførsel om straffekravet, jf. straffeprosessloven § 264 a. Er ikke det gjort sender saksbehandler mail til aktor med </w:t>
      </w:r>
      <w:r w:rsidR="001B4D18">
        <w:rPr>
          <w:rFonts w:ascii="Times New Roman" w:hAnsi="Times New Roman" w:cs="Times New Roman"/>
          <w:sz w:val="24"/>
          <w:szCs w:val="24"/>
          <w:lang w:eastAsia="nb-NO"/>
        </w:rPr>
        <w:t>3 dagers</w:t>
      </w:r>
      <w:r>
        <w:rPr>
          <w:rFonts w:ascii="Times New Roman" w:hAnsi="Times New Roman" w:cs="Times New Roman"/>
          <w:sz w:val="24"/>
          <w:szCs w:val="24"/>
          <w:lang w:eastAsia="nb-NO"/>
        </w:rPr>
        <w:t xml:space="preserve"> frist for å gjøre dette. </w:t>
      </w:r>
    </w:p>
    <w:p w14:paraId="1CB1EDF6" w14:textId="77777777" w:rsidR="002360BC" w:rsidRPr="0084505C" w:rsidRDefault="002360BC" w:rsidP="002360BC">
      <w:pPr>
        <w:rPr>
          <w:rFonts w:ascii="Times New Roman" w:hAnsi="Times New Roman" w:cs="Times New Roman"/>
          <w:b/>
          <w:sz w:val="24"/>
          <w:szCs w:val="24"/>
          <w:lang w:eastAsia="nb-NO"/>
        </w:rPr>
      </w:pPr>
      <w:r w:rsidRPr="0084505C">
        <w:rPr>
          <w:rFonts w:ascii="Times New Roman" w:hAnsi="Times New Roman" w:cs="Times New Roman"/>
          <w:b/>
          <w:sz w:val="24"/>
          <w:szCs w:val="24"/>
          <w:lang w:eastAsia="nb-NO"/>
        </w:rPr>
        <w:t>2. Beramming</w:t>
      </w:r>
    </w:p>
    <w:p w14:paraId="7102BFDF" w14:textId="77777777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Saksbehandler b</w:t>
      </w:r>
      <w:r w:rsidRPr="00970B86">
        <w:rPr>
          <w:rFonts w:ascii="Times New Roman" w:hAnsi="Times New Roman" w:cs="Times New Roman"/>
          <w:sz w:val="24"/>
          <w:szCs w:val="24"/>
        </w:rPr>
        <w:t>erammer hovedforhandling og dato for fremmøteforkynning.</w:t>
      </w:r>
    </w:p>
    <w:p w14:paraId="1187AF1F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0B86">
        <w:rPr>
          <w:rFonts w:ascii="Times New Roman" w:hAnsi="Times New Roman" w:cs="Times New Roman"/>
          <w:sz w:val="24"/>
          <w:szCs w:val="24"/>
        </w:rPr>
        <w:t xml:space="preserve">Tidspunkt for fremmøteforkynning settes til </w:t>
      </w:r>
      <w:r>
        <w:rPr>
          <w:rFonts w:ascii="Times New Roman" w:hAnsi="Times New Roman" w:cs="Times New Roman"/>
          <w:sz w:val="24"/>
          <w:szCs w:val="24"/>
        </w:rPr>
        <w:t xml:space="preserve">3 uker etter siste dag som er reservert til domskrivning. </w:t>
      </w:r>
    </w:p>
    <w:p w14:paraId="1D55FB53" w14:textId="2FD27C6C" w:rsidR="002360BC" w:rsidRPr="00AA7EE5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B86">
        <w:rPr>
          <w:rFonts w:ascii="Times New Roman" w:hAnsi="Times New Roman" w:cs="Times New Roman"/>
          <w:sz w:val="24"/>
          <w:szCs w:val="24"/>
        </w:rPr>
        <w:t xml:space="preserve">Opprette blankt ark og lime inn teksten fra malen for fremmøteforkynning av dom </w:t>
      </w:r>
      <w:r>
        <w:rPr>
          <w:rFonts w:ascii="Times New Roman" w:hAnsi="Times New Roman" w:cs="Times New Roman"/>
          <w:sz w:val="24"/>
          <w:szCs w:val="24"/>
        </w:rPr>
        <w:t>for domfelte under 18 år. (Merk at det fremgår av malen at verge også skal innkalles til fremmøteforkynning) Denne sjekkes ikke</w:t>
      </w:r>
      <w:r w:rsidRPr="00970B86">
        <w:rPr>
          <w:rFonts w:ascii="Times New Roman" w:hAnsi="Times New Roman" w:cs="Times New Roman"/>
          <w:sz w:val="24"/>
          <w:szCs w:val="24"/>
        </w:rPr>
        <w:t xml:space="preserve"> opp i dokumentlista (blir lig</w:t>
      </w:r>
      <w:r>
        <w:rPr>
          <w:rFonts w:ascii="Times New Roman" w:hAnsi="Times New Roman" w:cs="Times New Roman"/>
          <w:sz w:val="24"/>
          <w:szCs w:val="24"/>
        </w:rPr>
        <w:t>gende nede som intern dokument)</w:t>
      </w:r>
    </w:p>
    <w:p w14:paraId="38FC17FF" w14:textId="25070766" w:rsidR="00FE0AA1" w:rsidRPr="00AA7EE5" w:rsidRDefault="00FE0AA1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EE5">
        <w:rPr>
          <w:rFonts w:ascii="Times New Roman" w:hAnsi="Times New Roman" w:cs="Times New Roman"/>
          <w:color w:val="000000" w:themeColor="text1"/>
          <w:sz w:val="24"/>
          <w:szCs w:val="24"/>
        </w:rPr>
        <w:t>Frist for tilsvar settes til to uker NB! Egen mal for tilsvar i U18-saker</w:t>
      </w:r>
    </w:p>
    <w:p w14:paraId="06976870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EE5">
        <w:rPr>
          <w:rFonts w:ascii="Times New Roman" w:hAnsi="Times New Roman" w:cs="Times New Roman"/>
          <w:color w:val="000000" w:themeColor="text1"/>
          <w:sz w:val="24"/>
          <w:szCs w:val="24"/>
        </w:rPr>
        <w:t>Dersom det frem</w:t>
      </w:r>
      <w:r w:rsidRPr="00970B86">
        <w:rPr>
          <w:rFonts w:ascii="Times New Roman" w:hAnsi="Times New Roman" w:cs="Times New Roman"/>
          <w:sz w:val="24"/>
          <w:szCs w:val="24"/>
        </w:rPr>
        <w:t>mes ønske om venterom til vitner og/eller tiltalte skriver saksbehandler det i møtebildet og sender i tillegg e-post til Tinghusservice</w:t>
      </w:r>
    </w:p>
    <w:p w14:paraId="798E3686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0B86">
        <w:rPr>
          <w:rFonts w:ascii="Times New Roman" w:hAnsi="Times New Roman" w:cs="Times New Roman"/>
          <w:sz w:val="24"/>
          <w:szCs w:val="24"/>
        </w:rPr>
        <w:t xml:space="preserve">Tinghusservice </w:t>
      </w:r>
      <w:r>
        <w:rPr>
          <w:rFonts w:ascii="Times New Roman" w:hAnsi="Times New Roman" w:cs="Times New Roman"/>
          <w:sz w:val="24"/>
          <w:szCs w:val="24"/>
        </w:rPr>
        <w:t>finner</w:t>
      </w:r>
      <w:r w:rsidRPr="00970B86">
        <w:rPr>
          <w:rFonts w:ascii="Times New Roman" w:hAnsi="Times New Roman" w:cs="Times New Roman"/>
          <w:sz w:val="24"/>
          <w:szCs w:val="24"/>
        </w:rPr>
        <w:t xml:space="preserve"> rom og sender e-post til </w:t>
      </w:r>
      <w:r>
        <w:rPr>
          <w:rFonts w:ascii="Times New Roman" w:hAnsi="Times New Roman" w:cs="Times New Roman"/>
          <w:sz w:val="24"/>
          <w:szCs w:val="24"/>
        </w:rPr>
        <w:t xml:space="preserve">saksbehandler, dommer og sikkerhet. Saksbehandler sender videre info om reservert rom til sakens aktører. </w:t>
      </w:r>
    </w:p>
    <w:p w14:paraId="5FCEA877" w14:textId="77777777" w:rsidR="002360BC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0B86">
        <w:rPr>
          <w:rFonts w:ascii="Times New Roman" w:hAnsi="Times New Roman" w:cs="Times New Roman"/>
          <w:sz w:val="24"/>
          <w:szCs w:val="24"/>
        </w:rPr>
        <w:t xml:space="preserve">Sende bjellemelding til avdelingen med informasjon om </w:t>
      </w:r>
      <w:r>
        <w:rPr>
          <w:rFonts w:ascii="Times New Roman" w:hAnsi="Times New Roman" w:cs="Times New Roman"/>
          <w:sz w:val="24"/>
          <w:szCs w:val="24"/>
        </w:rPr>
        <w:t>at det er venterom i saken</w:t>
      </w:r>
      <w:r w:rsidRPr="0097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(legg inn link til listen under i kommentarfeltet i bjellemeldingen) </w:t>
      </w:r>
      <w:r w:rsidRPr="00970B86">
        <w:rPr>
          <w:rFonts w:ascii="Times New Roman" w:hAnsi="Times New Roman" w:cs="Times New Roman"/>
          <w:sz w:val="24"/>
          <w:szCs w:val="24"/>
        </w:rPr>
        <w:t>og at venterom til tiltalte/vitner må åpnes samtidig med salen.</w:t>
      </w:r>
    </w:p>
    <w:p w14:paraId="1621CBC1" w14:textId="77777777" w:rsidR="002360BC" w:rsidRPr="006B1241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505C">
        <w:rPr>
          <w:rFonts w:ascii="Times New Roman" w:hAnsi="Times New Roman" w:cs="Times New Roman"/>
          <w:sz w:val="24"/>
          <w:szCs w:val="24"/>
        </w:rPr>
        <w:t xml:space="preserve">(Listen med rom for U/18-saker lagt ut på intranett: </w:t>
      </w:r>
      <w:hyperlink r:id="rId6" w:history="1">
        <w:r w:rsidRPr="0084505C">
          <w:rPr>
            <w:rStyle w:val="Hyperkobling"/>
            <w:rFonts w:ascii="Times New Roman" w:hAnsi="Times New Roman" w:cs="Times New Roman"/>
            <w:sz w:val="24"/>
            <w:szCs w:val="24"/>
          </w:rPr>
          <w:t>http://intranett/Domstolene/oslo-tinghus1/saler-oslo/oversikt-over-venterom-u18-saker</w:t>
        </w:r>
      </w:hyperlink>
      <w:r w:rsidRPr="0084505C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29925B85" w14:textId="161E0D0A" w:rsidR="002360BC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Opprette</w:t>
      </w:r>
      <w:r w:rsidRPr="00970B86">
        <w:rPr>
          <w:rFonts w:ascii="Times New Roman" w:hAnsi="Times New Roman" w:cs="Times New Roman"/>
          <w:sz w:val="24"/>
          <w:szCs w:val="24"/>
        </w:rPr>
        <w:t xml:space="preserve"> blank ark og lime inn «Rettsmøtene skritt for skritt U18-versjon» og lagre det som intern dokument (blir ikke sjekket opp). Denne er tilgjengelig på: </w:t>
      </w:r>
      <w:hyperlink r:id="rId7" w:history="1">
        <w:r w:rsidRPr="00970B86">
          <w:rPr>
            <w:rStyle w:val="Hyperkobling"/>
            <w:rFonts w:ascii="Times New Roman" w:hAnsi="Times New Roman" w:cs="Times New Roman"/>
            <w:sz w:val="24"/>
            <w:szCs w:val="24"/>
          </w:rPr>
          <w:t>http://intranett/Faglig/TOSLretningslinjer/straffesaker/barn-i-domstolen/veileder-tiltalt-under-18-ar/</w:t>
        </w:r>
      </w:hyperlink>
      <w:r w:rsidRPr="00970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7086F" w14:textId="35D48D82" w:rsidR="001F3451" w:rsidRPr="00AA7EE5" w:rsidRDefault="001F345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</w:t>
      </w:r>
      <w:r w:rsidRPr="00970B86">
        <w:rPr>
          <w:rFonts w:ascii="Times New Roman" w:hAnsi="Times New Roman" w:cs="Times New Roman"/>
          <w:sz w:val="24"/>
          <w:szCs w:val="24"/>
        </w:rPr>
        <w:t xml:space="preserve"> en bjellemelding på saken til dommeren for å gjøre oppmerksom på at dokumentet «Rettsmøtene skritt for skritt (U18-versjon)» er tilgjengelig. (Det er frivillig for dommeren å bruke dokumentet.)</w:t>
      </w:r>
    </w:p>
    <w:p w14:paraId="0B52BD69" w14:textId="4730705B" w:rsidR="00FE5640" w:rsidRDefault="00FE5640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saker på 5 dager eller mer eller i saker hvor aktor eller forsvarer har bedt om det spør saksbehandler dommer på saken om det skal innkalles til planmøte. NB. Vi har egen planmøtemal for U18 saker.</w:t>
      </w:r>
      <w:r w:rsidR="008F7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331FF" w14:textId="6BA5AEDD" w:rsidR="008F7B9F" w:rsidRPr="00AA7EE5" w:rsidRDefault="008F7B9F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7EE5">
        <w:rPr>
          <w:rFonts w:ascii="Times New Roman" w:hAnsi="Times New Roman" w:cs="Times New Roman"/>
          <w:sz w:val="24"/>
          <w:szCs w:val="24"/>
        </w:rPr>
        <w:lastRenderedPageBreak/>
        <w:t>Dersom aktørene melder at det ikke er behov for planmøte</w:t>
      </w:r>
      <w:r w:rsidR="0094596E" w:rsidRPr="00AA7EE5">
        <w:rPr>
          <w:rFonts w:ascii="Times New Roman" w:hAnsi="Times New Roman" w:cs="Times New Roman"/>
          <w:sz w:val="24"/>
          <w:szCs w:val="24"/>
        </w:rPr>
        <w:t>/dommeren beslutter det ikke skal være planmøte</w:t>
      </w:r>
      <w:r w:rsidRPr="00AA7EE5">
        <w:rPr>
          <w:rFonts w:ascii="Times New Roman" w:hAnsi="Times New Roman" w:cs="Times New Roman"/>
          <w:sz w:val="24"/>
          <w:szCs w:val="24"/>
        </w:rPr>
        <w:t xml:space="preserve"> – spør saksbehandler dommer på saken om brevet «Brev etter tilsvar» skal sendes ut</w:t>
      </w:r>
      <w:r w:rsidR="00FE0AA1" w:rsidRPr="00AA7E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856EA" w14:textId="6FBE296E" w:rsidR="002360BC" w:rsidRPr="00970B86" w:rsidRDefault="00B05EB0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360BC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2360BC">
        <w:rPr>
          <w:rFonts w:ascii="Times New Roman" w:hAnsi="Times New Roman" w:cs="Times New Roman"/>
          <w:sz w:val="24"/>
          <w:szCs w:val="24"/>
        </w:rPr>
        <w:t xml:space="preserve">mindreårige vitner varsler </w:t>
      </w:r>
      <w:r>
        <w:rPr>
          <w:rFonts w:ascii="Times New Roman" w:hAnsi="Times New Roman" w:cs="Times New Roman"/>
          <w:sz w:val="24"/>
          <w:szCs w:val="24"/>
        </w:rPr>
        <w:t xml:space="preserve">saksbehandler </w:t>
      </w:r>
      <w:r w:rsidR="002360BC">
        <w:rPr>
          <w:rFonts w:ascii="Times New Roman" w:hAnsi="Times New Roman" w:cs="Times New Roman"/>
          <w:sz w:val="24"/>
          <w:szCs w:val="24"/>
        </w:rPr>
        <w:t>vitnestøtte om dette</w:t>
      </w:r>
    </w:p>
    <w:p w14:paraId="032B343D" w14:textId="77777777" w:rsidR="002360BC" w:rsidRPr="00970B86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0B86">
        <w:rPr>
          <w:rFonts w:ascii="Times New Roman" w:hAnsi="Times New Roman" w:cs="Times New Roman"/>
          <w:sz w:val="24"/>
          <w:szCs w:val="24"/>
        </w:rPr>
        <w:t>Sende saken til avdelingens innkurv.</w:t>
      </w:r>
    </w:p>
    <w:p w14:paraId="2B7FCAD9" w14:textId="77777777" w:rsidR="002360BC" w:rsidRPr="00970B86" w:rsidRDefault="002360BC" w:rsidP="002360BC">
      <w:pPr>
        <w:rPr>
          <w:rFonts w:ascii="Times New Roman" w:hAnsi="Times New Roman" w:cs="Times New Roman"/>
          <w:sz w:val="24"/>
          <w:szCs w:val="24"/>
        </w:rPr>
      </w:pPr>
    </w:p>
    <w:p w14:paraId="6095B3A2" w14:textId="77777777" w:rsidR="002360BC" w:rsidRPr="0084505C" w:rsidRDefault="002360BC" w:rsidP="002360BC">
      <w:pPr>
        <w:rPr>
          <w:rFonts w:ascii="Times New Roman" w:hAnsi="Times New Roman" w:cs="Times New Roman"/>
          <w:b/>
          <w:sz w:val="24"/>
          <w:szCs w:val="24"/>
        </w:rPr>
      </w:pPr>
      <w:r w:rsidRPr="0084505C">
        <w:rPr>
          <w:rFonts w:ascii="Times New Roman" w:hAnsi="Times New Roman" w:cs="Times New Roman"/>
          <w:b/>
          <w:sz w:val="24"/>
          <w:szCs w:val="24"/>
        </w:rPr>
        <w:t>Saksbehandler/seksjonsleder</w:t>
      </w:r>
      <w:r>
        <w:rPr>
          <w:rFonts w:ascii="Times New Roman" w:hAnsi="Times New Roman" w:cs="Times New Roman"/>
          <w:b/>
          <w:sz w:val="24"/>
          <w:szCs w:val="24"/>
        </w:rPr>
        <w:t xml:space="preserve"> i rettsavdeling</w:t>
      </w:r>
      <w:r w:rsidRPr="0084505C">
        <w:rPr>
          <w:rFonts w:ascii="Times New Roman" w:hAnsi="Times New Roman" w:cs="Times New Roman"/>
          <w:b/>
          <w:sz w:val="24"/>
          <w:szCs w:val="24"/>
        </w:rPr>
        <w:t>:</w:t>
      </w:r>
    </w:p>
    <w:p w14:paraId="6A1945A9" w14:textId="77777777" w:rsidR="002360BC" w:rsidRPr="0084505C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505C">
        <w:rPr>
          <w:rFonts w:ascii="Times New Roman" w:hAnsi="Times New Roman" w:cs="Times New Roman"/>
          <w:sz w:val="24"/>
          <w:szCs w:val="24"/>
        </w:rPr>
        <w:t>Seksjonsleder henter saken som er markert som prioritert U18 –sak fra avdelingens innkurv og fordeler til saksb</w:t>
      </w:r>
      <w:r>
        <w:rPr>
          <w:rFonts w:ascii="Times New Roman" w:hAnsi="Times New Roman" w:cs="Times New Roman"/>
          <w:sz w:val="24"/>
          <w:szCs w:val="24"/>
        </w:rPr>
        <w:t>ehandler senest 3 dager før hovedforhandling</w:t>
      </w:r>
    </w:p>
    <w:p w14:paraId="66924F3E" w14:textId="77777777" w:rsidR="002360BC" w:rsidRPr="0084505C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Saksbehandler klargjør rettsboken</w:t>
      </w:r>
      <w:r w:rsidRPr="0084505C">
        <w:rPr>
          <w:rFonts w:ascii="Times New Roman" w:hAnsi="Times New Roman" w:cs="Times New Roman"/>
          <w:sz w:val="24"/>
          <w:szCs w:val="24"/>
        </w:rPr>
        <w:t xml:space="preserve"> 3 dager før hovedforhandling.</w:t>
      </w:r>
    </w:p>
    <w:p w14:paraId="15F6D81D" w14:textId="77777777" w:rsidR="002360BC" w:rsidRPr="0084505C" w:rsidRDefault="002360BC" w:rsidP="002360BC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avsluttet hovedforhandling </w:t>
      </w:r>
      <w:r w:rsidRPr="0084505C">
        <w:rPr>
          <w:rFonts w:ascii="Times New Roman" w:hAnsi="Times New Roman" w:cs="Times New Roman"/>
          <w:sz w:val="24"/>
          <w:szCs w:val="24"/>
        </w:rPr>
        <w:t xml:space="preserve">sender saksbehandler bjellemelding til Sikkerhet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4505C">
        <w:rPr>
          <w:rFonts w:ascii="Times New Roman" w:hAnsi="Times New Roman" w:cs="Times New Roman"/>
          <w:sz w:val="24"/>
          <w:szCs w:val="24"/>
        </w:rPr>
        <w:t xml:space="preserve"> innkurven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505C">
        <w:rPr>
          <w:rFonts w:ascii="Times New Roman" w:hAnsi="Times New Roman" w:cs="Times New Roman"/>
          <w:sz w:val="24"/>
          <w:szCs w:val="24"/>
        </w:rPr>
        <w:t>fremmøteforkynninger</w:t>
      </w:r>
      <w:r>
        <w:rPr>
          <w:rFonts w:ascii="Times New Roman" w:hAnsi="Times New Roman" w:cs="Times New Roman"/>
          <w:sz w:val="24"/>
          <w:szCs w:val="24"/>
        </w:rPr>
        <w:t>» med frist</w:t>
      </w:r>
      <w:r w:rsidRPr="0084505C">
        <w:rPr>
          <w:rFonts w:ascii="Times New Roman" w:hAnsi="Times New Roman" w:cs="Times New Roman"/>
          <w:sz w:val="24"/>
          <w:szCs w:val="24"/>
        </w:rPr>
        <w:t>datoen for forkynning.</w:t>
      </w:r>
    </w:p>
    <w:p w14:paraId="39CD9B2A" w14:textId="77777777" w:rsidR="00F330B4" w:rsidRPr="002360BC" w:rsidRDefault="00AA7EE5" w:rsidP="002360BC"/>
    <w:sectPr w:rsidR="00F330B4" w:rsidRPr="0023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510"/>
    <w:multiLevelType w:val="multilevel"/>
    <w:tmpl w:val="816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873B7"/>
    <w:multiLevelType w:val="hybridMultilevel"/>
    <w:tmpl w:val="8612CF68"/>
    <w:lvl w:ilvl="0" w:tplc="EA52E1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11145"/>
    <w:multiLevelType w:val="multilevel"/>
    <w:tmpl w:val="577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86"/>
    <w:rsid w:val="0003400B"/>
    <w:rsid w:val="000501E4"/>
    <w:rsid w:val="00071F48"/>
    <w:rsid w:val="000E3E12"/>
    <w:rsid w:val="000E47D7"/>
    <w:rsid w:val="00112D5B"/>
    <w:rsid w:val="001B4D18"/>
    <w:rsid w:val="001B6BD3"/>
    <w:rsid w:val="001F3451"/>
    <w:rsid w:val="002007C6"/>
    <w:rsid w:val="002360BC"/>
    <w:rsid w:val="00337215"/>
    <w:rsid w:val="00337BAF"/>
    <w:rsid w:val="004211ED"/>
    <w:rsid w:val="00472D46"/>
    <w:rsid w:val="004D03B2"/>
    <w:rsid w:val="0059298B"/>
    <w:rsid w:val="00625946"/>
    <w:rsid w:val="006512FF"/>
    <w:rsid w:val="00667FD3"/>
    <w:rsid w:val="00671BB7"/>
    <w:rsid w:val="006B1241"/>
    <w:rsid w:val="0084505C"/>
    <w:rsid w:val="0087022D"/>
    <w:rsid w:val="008F7B9F"/>
    <w:rsid w:val="0094596E"/>
    <w:rsid w:val="00970B86"/>
    <w:rsid w:val="009964EB"/>
    <w:rsid w:val="00996566"/>
    <w:rsid w:val="009A799F"/>
    <w:rsid w:val="009B1E60"/>
    <w:rsid w:val="00AA7EE5"/>
    <w:rsid w:val="00AB3E73"/>
    <w:rsid w:val="00B05EB0"/>
    <w:rsid w:val="00BD4041"/>
    <w:rsid w:val="00BF49A3"/>
    <w:rsid w:val="00C50ED2"/>
    <w:rsid w:val="00CE5B6E"/>
    <w:rsid w:val="00E00013"/>
    <w:rsid w:val="00E13681"/>
    <w:rsid w:val="00E473A8"/>
    <w:rsid w:val="00F21DCE"/>
    <w:rsid w:val="00F22297"/>
    <w:rsid w:val="00FE0AA1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7E5"/>
  <w15:chartTrackingRefBased/>
  <w15:docId w15:val="{238A36A5-A769-4CB4-A149-FBAF661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BC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0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970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970B8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70B8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70B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E3E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E3E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E3E1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E3E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3E1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3E12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501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0501E4"/>
    <w:rPr>
      <w:rFonts w:ascii="Hind" w:hAnsi="Hind" w:hint="default"/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8F7B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ranett/Faglig/TOSLretningslinjer/straffesaker/barn-i-domstolen/veileder-tiltalt-under-18-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ranett/Domstolene/oslo-tinghus1/saler-oslo/oversikt-over-venterom-u18-saker" TargetMode="External"/><Relationship Id="rId5" Type="http://schemas.openxmlformats.org/officeDocument/2006/relationships/hyperlink" Target="mailto:Anne.margrethe.lund@domstol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865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Domstoladministrasjonen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Resanovic, Nemanja</dc:creator>
  <cp:keywords/>
  <dc:description/>
  <cp:lastModifiedBy>Lund, Anne Margrethe</cp:lastModifiedBy>
  <cp:revision>3</cp:revision>
  <dcterms:created xsi:type="dcterms:W3CDTF">2022-11-01T14:13:00Z</dcterms:created>
  <dcterms:modified xsi:type="dcterms:W3CDTF">2022-11-01T14:19:00Z</dcterms:modified>
</cp:coreProperties>
</file>