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F4F6" w14:textId="243BE1BF" w:rsidR="00405480" w:rsidRPr="00405480" w:rsidRDefault="00405480" w:rsidP="0094150F">
      <w:pPr>
        <w:pStyle w:val="Overskrift1"/>
      </w:pPr>
      <w:r>
        <w:t>Retningslinje for berammelse av U18-saker etter</w:t>
      </w:r>
      <w:r w:rsidR="0094150F">
        <w:t xml:space="preserve"> </w:t>
      </w:r>
      <w:r>
        <w:t xml:space="preserve">straffeprosessloven </w:t>
      </w:r>
      <w:r w:rsidR="6E9389B2">
        <w:t xml:space="preserve">§ </w:t>
      </w:r>
      <w:r>
        <w:t>275</w:t>
      </w:r>
      <w:r w:rsidR="0094150F">
        <w:t xml:space="preserve"> – Oslo tingrett</w:t>
      </w:r>
    </w:p>
    <w:p w14:paraId="48054673" w14:textId="77777777" w:rsidR="00405480" w:rsidRPr="00405480" w:rsidRDefault="00405480" w:rsidP="00A17EF1">
      <w:pPr>
        <w:pStyle w:val="Overskrift2"/>
      </w:pPr>
      <w:r w:rsidRPr="00405480">
        <w:t>1. Målsetting</w:t>
      </w:r>
    </w:p>
    <w:p w14:paraId="0F105C2C" w14:textId="77777777" w:rsidR="00C92389" w:rsidRDefault="00405480" w:rsidP="00700664">
      <w:r w:rsidRPr="00405480">
        <w:t xml:space="preserve">Hovedforhandling skal berammes og avholdes så snart som mulig. Fristene i </w:t>
      </w:r>
      <w:r w:rsidR="00A17EF1">
        <w:t>straffeprosessloven §</w:t>
      </w:r>
      <w:r w:rsidRPr="00405480">
        <w:t xml:space="preserve"> 275 annet ledd skal overholdes</w:t>
      </w:r>
      <w:r w:rsidR="00294BD4">
        <w:t>.</w:t>
      </w:r>
      <w:r w:rsidR="00700664">
        <w:t xml:space="preserve"> </w:t>
      </w:r>
    </w:p>
    <w:p w14:paraId="2BC5F5E1" w14:textId="76ABB32E" w:rsidR="00700664" w:rsidRPr="005C58D6" w:rsidRDefault="00C92389" w:rsidP="00700664">
      <w:pPr>
        <w:rPr>
          <w:color w:val="EE0000"/>
        </w:rPr>
      </w:pPr>
      <w:r>
        <w:t xml:space="preserve">Beramming må foretas </w:t>
      </w:r>
      <w:r w:rsidR="007967EC">
        <w:t xml:space="preserve">i samråd med prinsippet om </w:t>
      </w:r>
      <w:r w:rsidR="00700664">
        <w:t>barnets beste</w:t>
      </w:r>
      <w:r w:rsidR="007967EC">
        <w:t xml:space="preserve">. </w:t>
      </w:r>
    </w:p>
    <w:p w14:paraId="2458369D" w14:textId="613948A0" w:rsidR="00E44640" w:rsidRDefault="00AB5B3C" w:rsidP="00405480">
      <w:r>
        <w:t>Saker</w:t>
      </w:r>
      <w:r w:rsidR="00E44640">
        <w:t xml:space="preserve"> i følgende kategorier skal prioriteres høyest innenfor kategorien prioriterte saker: </w:t>
      </w:r>
    </w:p>
    <w:p w14:paraId="7D19DBDE" w14:textId="04311DB1" w:rsidR="00E44640" w:rsidRDefault="00487F0E" w:rsidP="00E44640">
      <w:pPr>
        <w:pStyle w:val="Listeavsnitt"/>
        <w:numPr>
          <w:ilvl w:val="0"/>
          <w:numId w:val="4"/>
        </w:numPr>
      </w:pPr>
      <w:r>
        <w:t>s</w:t>
      </w:r>
      <w:r w:rsidR="00E44640">
        <w:t xml:space="preserve">ak der </w:t>
      </w:r>
      <w:r w:rsidR="00AB5B3C">
        <w:t>tiltalte fortsatt er mindreårig på tidspunktet for hovedforhandling,</w:t>
      </w:r>
    </w:p>
    <w:p w14:paraId="0E694003" w14:textId="35B1A389" w:rsidR="00E44640" w:rsidRDefault="00AB5B3C" w:rsidP="00E44640">
      <w:pPr>
        <w:pStyle w:val="Listeavsnitt"/>
        <w:numPr>
          <w:ilvl w:val="0"/>
          <w:numId w:val="4"/>
        </w:numPr>
      </w:pPr>
      <w:r>
        <w:t>sak med mindreårige fornærme</w:t>
      </w:r>
      <w:r w:rsidR="00E44640">
        <w:t>t</w:t>
      </w:r>
      <w:r>
        <w:t xml:space="preserve">  </w:t>
      </w:r>
    </w:p>
    <w:p w14:paraId="77C4989E" w14:textId="77777777" w:rsidR="00E44640" w:rsidRDefault="00AB5B3C" w:rsidP="00E44640">
      <w:pPr>
        <w:pStyle w:val="Listeavsnitt"/>
        <w:numPr>
          <w:ilvl w:val="0"/>
          <w:numId w:val="4"/>
        </w:numPr>
      </w:pPr>
      <w:r>
        <w:t>sak med svært alvorlig lovbrudd</w:t>
      </w:r>
    </w:p>
    <w:p w14:paraId="636A0C9D" w14:textId="4FB0FEE3" w:rsidR="00E66DE5" w:rsidRDefault="00E66DE5" w:rsidP="00E44640">
      <w:pPr>
        <w:pStyle w:val="Listeavsnitt"/>
        <w:numPr>
          <w:ilvl w:val="0"/>
          <w:numId w:val="4"/>
        </w:numPr>
      </w:pPr>
      <w:r>
        <w:t>sak der tiltalte er gjenganger</w:t>
      </w:r>
    </w:p>
    <w:p w14:paraId="20177676" w14:textId="003E796A" w:rsidR="00AB5B3C" w:rsidRDefault="00AB5B3C" w:rsidP="00E44640">
      <w:pPr>
        <w:pStyle w:val="Listeavsnitt"/>
      </w:pPr>
      <w:r>
        <w:t xml:space="preserve"> </w:t>
      </w:r>
    </w:p>
    <w:p w14:paraId="19B9B6C7" w14:textId="76981AFB" w:rsidR="00405480" w:rsidRPr="00405480" w:rsidRDefault="00294BD4" w:rsidP="00E44640">
      <w:r>
        <w:t>I</w:t>
      </w:r>
      <w:r w:rsidR="00405480" w:rsidRPr="00405480">
        <w:t xml:space="preserve">nnen 2 uker etter </w:t>
      </w:r>
      <w:r w:rsidR="00A17EF1">
        <w:t>at saken kom inn</w:t>
      </w:r>
      <w:r>
        <w:t xml:space="preserve"> som ordinær beramming</w:t>
      </w:r>
      <w:r w:rsidR="00A17EF1">
        <w:t>, skal dato for hovedforhandling være avklart</w:t>
      </w:r>
      <w:r w:rsidR="00405480" w:rsidRPr="00405480">
        <w:t>.</w:t>
      </w:r>
    </w:p>
    <w:p w14:paraId="0E81F763" w14:textId="00753C93" w:rsidR="00721CC1" w:rsidRPr="00C91FFF" w:rsidRDefault="00A17EF1" w:rsidP="00E44640">
      <w:r>
        <w:t>I</w:t>
      </w:r>
      <w:r w:rsidR="00405480">
        <w:t xml:space="preserve">nnen 6 uker etter </w:t>
      </w:r>
      <w:r>
        <w:t xml:space="preserve">at saken kom inn, skal hovedforhandling gjennomføres når </w:t>
      </w:r>
      <w:r w:rsidR="00405480">
        <w:t xml:space="preserve">tiltalte var under </w:t>
      </w:r>
      <w:r w:rsidR="00AC0E69">
        <w:t>18</w:t>
      </w:r>
      <w:r w:rsidR="00405480">
        <w:t xml:space="preserve"> år på</w:t>
      </w:r>
      <w:r>
        <w:t xml:space="preserve"> </w:t>
      </w:r>
      <w:r w:rsidR="00405480" w:rsidRPr="00C91FFF">
        <w:t>gje</w:t>
      </w:r>
      <w:r w:rsidRPr="00C91FFF">
        <w:t>rnings</w:t>
      </w:r>
      <w:r w:rsidR="00405480" w:rsidRPr="00C91FFF">
        <w:t>tidspunktet.</w:t>
      </w:r>
    </w:p>
    <w:p w14:paraId="4C754F43" w14:textId="77777777" w:rsidR="00E44640" w:rsidRPr="00C91FFF" w:rsidRDefault="00E44640" w:rsidP="00E44640"/>
    <w:p w14:paraId="63BF302A" w14:textId="2B2CB4DF" w:rsidR="007967EC" w:rsidRPr="00C91FFF" w:rsidRDefault="00405480" w:rsidP="008D33FE">
      <w:pPr>
        <w:pStyle w:val="Overskrift2"/>
      </w:pPr>
      <w:r w:rsidRPr="00C91FFF">
        <w:t xml:space="preserve">2. </w:t>
      </w:r>
      <w:r w:rsidR="007967EC" w:rsidRPr="00C91FFF">
        <w:t>Beramming i tråd med barnets beste</w:t>
      </w:r>
    </w:p>
    <w:p w14:paraId="2DA35935" w14:textId="78E54EF0" w:rsidR="007967EC" w:rsidRPr="00C91FFF" w:rsidRDefault="000D1E45" w:rsidP="007967EC">
      <w:r w:rsidRPr="00C91FFF">
        <w:t xml:space="preserve">Mindreårige kan ha </w:t>
      </w:r>
      <w:r w:rsidR="007967EC" w:rsidRPr="00C91FFF">
        <w:t xml:space="preserve">opparbeidet seg særlig tillit til sin forsvarer. </w:t>
      </w:r>
      <w:r w:rsidRPr="00C91FFF">
        <w:t>Forsvarere har en utvidet rolle i U18-saker. I</w:t>
      </w:r>
      <w:r w:rsidR="007967EC" w:rsidRPr="00C91FFF">
        <w:t xml:space="preserve"> noen tilfeller kan være mer krevende for </w:t>
      </w:r>
      <w:r w:rsidRPr="00C91FFF">
        <w:t xml:space="preserve">ungdom å bytte forsvarer </w:t>
      </w:r>
      <w:r w:rsidR="007967EC" w:rsidRPr="00C91FFF">
        <w:t xml:space="preserve">enn </w:t>
      </w:r>
      <w:r w:rsidRPr="00C91FFF">
        <w:t xml:space="preserve">for </w:t>
      </w:r>
      <w:r w:rsidR="007967EC" w:rsidRPr="00C91FFF">
        <w:t xml:space="preserve">voksne tiltalte. </w:t>
      </w:r>
      <w:r w:rsidRPr="00C91FFF">
        <w:t>Hensynet til barnets beste</w:t>
      </w:r>
      <w:r w:rsidR="007967EC" w:rsidRPr="00C91FFF">
        <w:t xml:space="preserve"> kan tilsi at lovens frist brytes, dersom det sikrer fritt forsvarervalg. </w:t>
      </w:r>
    </w:p>
    <w:p w14:paraId="3D7C561C" w14:textId="77C2A880" w:rsidR="007967EC" w:rsidRPr="00516BC3" w:rsidRDefault="007967EC" w:rsidP="007967EC">
      <w:r w:rsidRPr="00C91FFF">
        <w:t xml:space="preserve">Lang tid mellom </w:t>
      </w:r>
      <w:r w:rsidR="000D1E45" w:rsidRPr="00C91FFF">
        <w:t xml:space="preserve">straffbar handling og </w:t>
      </w:r>
      <w:r w:rsidR="00516BC3" w:rsidRPr="00C91FFF">
        <w:t>hovedforhandling</w:t>
      </w:r>
      <w:r w:rsidR="000D1E45" w:rsidRPr="00C91FFF">
        <w:t xml:space="preserve"> er en ekstra stor belastning for mindreårige. </w:t>
      </w:r>
      <w:r w:rsidR="00516BC3" w:rsidRPr="00C91FFF">
        <w:t>B</w:t>
      </w:r>
      <w:r w:rsidR="000D1E45" w:rsidRPr="00C91FFF">
        <w:t xml:space="preserve">arnets beste </w:t>
      </w:r>
      <w:r w:rsidR="00516BC3" w:rsidRPr="00C91FFF">
        <w:t xml:space="preserve">kan </w:t>
      </w:r>
      <w:r w:rsidR="006A6883" w:rsidRPr="00C91FFF">
        <w:t xml:space="preserve">derfor også </w:t>
      </w:r>
      <w:r w:rsidR="000D1E45" w:rsidRPr="00C91FFF">
        <w:t xml:space="preserve">tilsi </w:t>
      </w:r>
      <w:r w:rsidR="00516BC3" w:rsidRPr="00C91FFF">
        <w:t>at fristoverskridelse ikke aksepteres.</w:t>
      </w:r>
      <w:r w:rsidR="00516BC3" w:rsidRPr="00516BC3">
        <w:t xml:space="preserve"> </w:t>
      </w:r>
    </w:p>
    <w:p w14:paraId="0706DEF0" w14:textId="77777777" w:rsidR="007967EC" w:rsidRPr="007967EC" w:rsidRDefault="007967EC" w:rsidP="007967EC"/>
    <w:p w14:paraId="15ABEBFD" w14:textId="10A461D3" w:rsidR="00405480" w:rsidRPr="00405480" w:rsidRDefault="00516BC3" w:rsidP="008D33FE">
      <w:pPr>
        <w:pStyle w:val="Overskrift2"/>
      </w:pPr>
      <w:r>
        <w:t xml:space="preserve">3. </w:t>
      </w:r>
      <w:r w:rsidR="00405480" w:rsidRPr="00405480">
        <w:t>Akseptabel fristoverskridelse (inntil 2 uker)</w:t>
      </w:r>
    </w:p>
    <w:p w14:paraId="7F8915A2" w14:textId="5C140414" w:rsidR="00405480" w:rsidRPr="00405480" w:rsidRDefault="00073701" w:rsidP="00405480">
      <w:r>
        <w:t>Kort fristoverskridelse inntil 2 uker k</w:t>
      </w:r>
      <w:r w:rsidR="00405480">
        <w:t>an aksepteres dersom:</w:t>
      </w:r>
    </w:p>
    <w:p w14:paraId="455FB62F" w14:textId="018CE0BA" w:rsidR="008D33FE" w:rsidRDefault="00405480" w:rsidP="00405480">
      <w:pPr>
        <w:pStyle w:val="Listeavsnitt"/>
        <w:numPr>
          <w:ilvl w:val="0"/>
          <w:numId w:val="1"/>
        </w:numPr>
      </w:pPr>
      <w:r>
        <w:t>Det hindrer aktor- eller forsvarerbytte</w:t>
      </w:r>
      <w:r w:rsidR="00073701">
        <w:t xml:space="preserve"> jf. </w:t>
      </w:r>
      <w:r w:rsidR="008D33FE">
        <w:t xml:space="preserve">Ot. </w:t>
      </w:r>
      <w:proofErr w:type="spellStart"/>
      <w:r w:rsidR="008D33FE">
        <w:t>Prpr</w:t>
      </w:r>
      <w:proofErr w:type="spellEnd"/>
      <w:r w:rsidR="008D33FE">
        <w:t xml:space="preserve"> </w:t>
      </w:r>
      <w:proofErr w:type="spellStart"/>
      <w:r w:rsidR="008D33FE">
        <w:t>nr</w:t>
      </w:r>
      <w:proofErr w:type="spellEnd"/>
      <w:r w:rsidR="008D33FE">
        <w:t xml:space="preserve"> 66 (2001-2002) </w:t>
      </w:r>
      <w:r w:rsidR="00693AA0">
        <w:t xml:space="preserve">s 137, merknadene til </w:t>
      </w:r>
      <w:proofErr w:type="spellStart"/>
      <w:r w:rsidR="00693AA0">
        <w:t>strpl</w:t>
      </w:r>
      <w:proofErr w:type="spellEnd"/>
      <w:r w:rsidR="00693AA0">
        <w:t xml:space="preserve"> § 275</w:t>
      </w:r>
      <w:r>
        <w:t xml:space="preserve"> </w:t>
      </w:r>
    </w:p>
    <w:p w14:paraId="220FCD67" w14:textId="69E6712A" w:rsidR="519FBEC0" w:rsidRDefault="519FBEC0" w:rsidP="63FEB17D">
      <w:pPr>
        <w:ind w:left="708" w:firstLine="708"/>
        <w:rPr>
          <w:i/>
          <w:iCs/>
        </w:rPr>
      </w:pPr>
      <w:r w:rsidRPr="63FEB17D">
        <w:rPr>
          <w:i/>
          <w:iCs/>
        </w:rPr>
        <w:t xml:space="preserve">Etter omstendighetene må for eksempel en kort utsettelse aksepteres for å </w:t>
      </w:r>
      <w:r>
        <w:tab/>
      </w:r>
      <w:r>
        <w:tab/>
      </w:r>
      <w:r w:rsidR="068FE3D8" w:rsidRPr="63FEB17D">
        <w:rPr>
          <w:i/>
          <w:iCs/>
        </w:rPr>
        <w:t>hindre aktor eller forsvarerbytte</w:t>
      </w:r>
    </w:p>
    <w:p w14:paraId="08BACB56" w14:textId="02823B5B" w:rsidR="00405480" w:rsidRPr="00405480" w:rsidRDefault="00405480" w:rsidP="00405480">
      <w:pPr>
        <w:pStyle w:val="Listeavsnitt"/>
        <w:numPr>
          <w:ilvl w:val="0"/>
          <w:numId w:val="1"/>
        </w:numPr>
      </w:pPr>
      <w:r w:rsidRPr="00405480">
        <w:t>Det skyldes rettsferie</w:t>
      </w:r>
      <w:r w:rsidR="00073701">
        <w:t xml:space="preserve"> </w:t>
      </w:r>
      <w:r w:rsidRPr="00405480">
        <w:t xml:space="preserve">(Rt-2004-l I58 avsnitt </w:t>
      </w:r>
      <w:r w:rsidR="00693AA0">
        <w:t>1</w:t>
      </w:r>
      <w:r w:rsidRPr="00405480">
        <w:t>3-</w:t>
      </w:r>
      <w:r w:rsidR="00693AA0">
        <w:t>1</w:t>
      </w:r>
      <w:r w:rsidRPr="00405480">
        <w:t>5)</w:t>
      </w:r>
    </w:p>
    <w:p w14:paraId="011761A3" w14:textId="5AFBEB89" w:rsidR="00405480" w:rsidRPr="00405480" w:rsidRDefault="00516BC3" w:rsidP="00073701">
      <w:pPr>
        <w:pStyle w:val="Overskrift2"/>
      </w:pPr>
      <w:r>
        <w:lastRenderedPageBreak/>
        <w:t>4</w:t>
      </w:r>
      <w:r w:rsidR="00405480" w:rsidRPr="00405480">
        <w:t>. Fristoverskridelse ut over 2 uker - vurderingskriterier</w:t>
      </w:r>
    </w:p>
    <w:p w14:paraId="757376F5" w14:textId="7E1249AA" w:rsidR="00405480" w:rsidRPr="00405480" w:rsidRDefault="0044654D" w:rsidP="00405480">
      <w:r>
        <w:t xml:space="preserve">Dette vil være </w:t>
      </w:r>
      <w:r w:rsidRPr="0044654D">
        <w:rPr>
          <w:i/>
          <w:iCs/>
        </w:rPr>
        <w:t>forsinkelse av betydning</w:t>
      </w:r>
      <w:r>
        <w:rPr>
          <w:i/>
          <w:iCs/>
        </w:rPr>
        <w:t xml:space="preserve">, </w:t>
      </w:r>
      <w:r>
        <w:t xml:space="preserve">som likevel </w:t>
      </w:r>
      <w:r>
        <w:rPr>
          <w:i/>
          <w:iCs/>
        </w:rPr>
        <w:t>k</w:t>
      </w:r>
      <w:r w:rsidR="00405480" w:rsidRPr="00405480">
        <w:t xml:space="preserve">an aksepteres dersom ingen tungtveiende hensyn taler mot, og minst ett av følgende </w:t>
      </w:r>
      <w:r w:rsidR="00073701">
        <w:t xml:space="preserve">kriterier </w:t>
      </w:r>
      <w:r w:rsidR="00405480" w:rsidRPr="00405480">
        <w:t>er</w:t>
      </w:r>
      <w:r w:rsidR="00073701">
        <w:t xml:space="preserve"> oppfylt</w:t>
      </w:r>
      <w:r w:rsidR="00E87624">
        <w:t>:</w:t>
      </w:r>
    </w:p>
    <w:p w14:paraId="69A783F8" w14:textId="6B4CB4B0" w:rsidR="00405480" w:rsidRPr="00405480" w:rsidRDefault="00405480" w:rsidP="00073701">
      <w:pPr>
        <w:pStyle w:val="Listeavsnitt"/>
        <w:numPr>
          <w:ilvl w:val="0"/>
          <w:numId w:val="1"/>
        </w:numPr>
      </w:pPr>
      <w:r w:rsidRPr="00405480">
        <w:t xml:space="preserve">Sakkyndig er ikke </w:t>
      </w:r>
      <w:r w:rsidR="00E87624" w:rsidRPr="00405480">
        <w:t>tilgjengelig</w:t>
      </w:r>
      <w:r w:rsidRPr="00405480">
        <w:t xml:space="preserve"> innen fristen</w:t>
      </w:r>
    </w:p>
    <w:p w14:paraId="4BDB9181" w14:textId="326DEEDE" w:rsidR="00405480" w:rsidRPr="00405480" w:rsidRDefault="00405480" w:rsidP="00405480">
      <w:pPr>
        <w:pStyle w:val="Listeavsnitt"/>
        <w:numPr>
          <w:ilvl w:val="0"/>
          <w:numId w:val="1"/>
        </w:numPr>
      </w:pPr>
      <w:r w:rsidRPr="00405480">
        <w:t xml:space="preserve">Tvangsberamming krever </w:t>
      </w:r>
      <w:r w:rsidR="00BB0743">
        <w:t xml:space="preserve">omfattende </w:t>
      </w:r>
      <w:r w:rsidRPr="00405480">
        <w:t>koordinering med flere aktører (utenom</w:t>
      </w:r>
      <w:r w:rsidR="00073701">
        <w:t xml:space="preserve"> </w:t>
      </w:r>
      <w:r w:rsidRPr="00405480">
        <w:t>bistandsadvokat).</w:t>
      </w:r>
    </w:p>
    <w:p w14:paraId="05B67595" w14:textId="27CC39FD" w:rsidR="00721CC1" w:rsidRDefault="00405480" w:rsidP="00721CC1">
      <w:pPr>
        <w:pStyle w:val="Listeavsnitt"/>
        <w:numPr>
          <w:ilvl w:val="0"/>
          <w:numId w:val="1"/>
        </w:numPr>
      </w:pPr>
      <w:r w:rsidRPr="00405480">
        <w:t>Saken er i periferien av U</w:t>
      </w:r>
      <w:r w:rsidR="00E87624">
        <w:t>1</w:t>
      </w:r>
      <w:r w:rsidRPr="00405480">
        <w:t>8-definisjonen</w:t>
      </w:r>
    </w:p>
    <w:p w14:paraId="2FB5EA69" w14:textId="2B5C236D" w:rsidR="00721CC1" w:rsidRDefault="00405480" w:rsidP="00721CC1">
      <w:pPr>
        <w:pStyle w:val="Listeavsnitt"/>
        <w:numPr>
          <w:ilvl w:val="1"/>
          <w:numId w:val="1"/>
        </w:numPr>
      </w:pPr>
      <w:r w:rsidRPr="00405480">
        <w:t xml:space="preserve">f.eks. </w:t>
      </w:r>
      <w:r w:rsidR="00A66915">
        <w:t>é</w:t>
      </w:r>
      <w:r w:rsidRPr="00405480">
        <w:t>n mindreårig tiltalt</w:t>
      </w:r>
      <w:r w:rsidR="00073701">
        <w:t xml:space="preserve"> blant flere voksne</w:t>
      </w:r>
    </w:p>
    <w:p w14:paraId="0783C730" w14:textId="5D05A580" w:rsidR="00721CC1" w:rsidRDefault="00405480" w:rsidP="00721CC1">
      <w:pPr>
        <w:pStyle w:val="Listeavsnitt"/>
        <w:numPr>
          <w:ilvl w:val="1"/>
          <w:numId w:val="1"/>
        </w:numPr>
      </w:pPr>
      <w:r w:rsidRPr="00405480">
        <w:t>l</w:t>
      </w:r>
      <w:r w:rsidR="00073701">
        <w:t xml:space="preserve">ite alvorlig straffbart forhold  </w:t>
      </w:r>
    </w:p>
    <w:p w14:paraId="6C7DE1A2" w14:textId="0C98CD38" w:rsidR="00073701" w:rsidRDefault="00405480" w:rsidP="00721CC1">
      <w:pPr>
        <w:pStyle w:val="Listeavsnitt"/>
        <w:numPr>
          <w:ilvl w:val="1"/>
          <w:numId w:val="1"/>
        </w:numPr>
      </w:pPr>
      <w:r w:rsidRPr="00405480">
        <w:t xml:space="preserve">tiltalte er over </w:t>
      </w:r>
      <w:r w:rsidR="00E87624">
        <w:t>1</w:t>
      </w:r>
      <w:r w:rsidRPr="00405480">
        <w:t>8 år ved hovedforhandling</w:t>
      </w:r>
    </w:p>
    <w:p w14:paraId="6C266914" w14:textId="41A950A1" w:rsidR="00C029CC" w:rsidRDefault="00C029CC" w:rsidP="00721CC1">
      <w:pPr>
        <w:pStyle w:val="Listeavsnitt"/>
        <w:numPr>
          <w:ilvl w:val="1"/>
          <w:numId w:val="1"/>
        </w:numPr>
      </w:pPr>
      <w:r>
        <w:t>sakens lengde</w:t>
      </w:r>
      <w:r w:rsidR="00862312">
        <w:t>. d</w:t>
      </w:r>
      <w:r>
        <w:t>esto lengre sak, desto større aksept for fristoverskridelse</w:t>
      </w:r>
    </w:p>
    <w:p w14:paraId="5E3A2998" w14:textId="3B2ED320" w:rsidR="00405480" w:rsidRDefault="00405480" w:rsidP="00405480">
      <w:pPr>
        <w:pStyle w:val="Listeavsnitt"/>
        <w:numPr>
          <w:ilvl w:val="0"/>
          <w:numId w:val="1"/>
        </w:numPr>
      </w:pPr>
      <w:r w:rsidRPr="00405480">
        <w:t xml:space="preserve">Det er ikke mulig å dele opp saken, legge inn </w:t>
      </w:r>
      <w:proofErr w:type="spellStart"/>
      <w:r w:rsidRPr="00405480">
        <w:t>rettsfrie</w:t>
      </w:r>
      <w:proofErr w:type="spellEnd"/>
      <w:r w:rsidRPr="00405480">
        <w:t xml:space="preserve"> dager eller gjøre andre grep for</w:t>
      </w:r>
      <w:r w:rsidR="00073701">
        <w:t xml:space="preserve"> </w:t>
      </w:r>
      <w:r w:rsidRPr="00405480">
        <w:t>å redusere fristoverskridelsen</w:t>
      </w:r>
    </w:p>
    <w:p w14:paraId="438E2B79" w14:textId="12CC9901" w:rsidR="00BE53B2" w:rsidRDefault="00BE53B2" w:rsidP="00405480">
      <w:pPr>
        <w:pStyle w:val="Listeavsnitt"/>
        <w:numPr>
          <w:ilvl w:val="0"/>
          <w:numId w:val="1"/>
        </w:numPr>
      </w:pPr>
      <w:r>
        <w:t xml:space="preserve">Desto lengre fristoverskridelse, desto mer tungtveiende grunner må foreligge. </w:t>
      </w:r>
    </w:p>
    <w:p w14:paraId="06FA729C" w14:textId="77777777" w:rsidR="00BE53B2" w:rsidRPr="00405480" w:rsidRDefault="00BE53B2" w:rsidP="00BE53B2">
      <w:pPr>
        <w:pStyle w:val="Listeavsnitt"/>
      </w:pPr>
    </w:p>
    <w:p w14:paraId="785A8A2D" w14:textId="530323B4" w:rsidR="00405480" w:rsidRPr="00405480" w:rsidRDefault="006A6883" w:rsidP="00FA2DD9">
      <w:pPr>
        <w:pStyle w:val="Overskrift2"/>
      </w:pPr>
      <w:r>
        <w:t>5</w:t>
      </w:r>
      <w:r w:rsidR="00405480" w:rsidRPr="00405480">
        <w:t>. Tungtveiende hensyn som taler mot fristoverskride</w:t>
      </w:r>
      <w:r w:rsidR="00FA2DD9">
        <w:t>l</w:t>
      </w:r>
      <w:r w:rsidR="00405480" w:rsidRPr="00405480">
        <w:t>se</w:t>
      </w:r>
    </w:p>
    <w:p w14:paraId="7A92C986" w14:textId="0616F7C7" w:rsidR="00FA2DD9" w:rsidRPr="00C91FFF" w:rsidRDefault="00405480" w:rsidP="00FA2DD9">
      <w:pPr>
        <w:pStyle w:val="Listeavsnitt"/>
        <w:numPr>
          <w:ilvl w:val="0"/>
          <w:numId w:val="1"/>
        </w:numPr>
      </w:pPr>
      <w:r w:rsidRPr="00C91FFF">
        <w:t>Alder</w:t>
      </w:r>
      <w:r w:rsidR="00E66DE5" w:rsidRPr="00C91FFF">
        <w:t>:</w:t>
      </w:r>
      <w:r w:rsidR="00BB0743" w:rsidRPr="00C91FFF">
        <w:t xml:space="preserve"> </w:t>
      </w:r>
      <w:r w:rsidRPr="00C91FFF">
        <w:t>jo yngre tiltalte, desto sterkere hensyn</w:t>
      </w:r>
      <w:r w:rsidR="00487F0E" w:rsidRPr="00C91FFF">
        <w:t xml:space="preserve"> mot fristoverskridelse</w:t>
      </w:r>
      <w:r w:rsidR="00B97CCF" w:rsidRPr="00C91FFF">
        <w:t>. Dette hensynet bør imidlertid også veies opp mot at barn og unge kan være ekstra sårbare for forsvarerbytte</w:t>
      </w:r>
      <w:r w:rsidRPr="00C91FFF">
        <w:t xml:space="preserve"> </w:t>
      </w:r>
    </w:p>
    <w:p w14:paraId="742D6D88" w14:textId="3EB5952B" w:rsidR="00FA2DD9" w:rsidRPr="00C91FFF" w:rsidRDefault="00405480" w:rsidP="00FA2DD9">
      <w:pPr>
        <w:pStyle w:val="Listeavsnitt"/>
        <w:numPr>
          <w:ilvl w:val="0"/>
          <w:numId w:val="1"/>
        </w:numPr>
      </w:pPr>
      <w:r w:rsidRPr="00C91FFF">
        <w:t xml:space="preserve">Fornærmedes situasjon - særlig barn eller sårbare fornærmede </w:t>
      </w:r>
    </w:p>
    <w:p w14:paraId="6E90ECD2" w14:textId="572865A4" w:rsidR="00FA2DD9" w:rsidRDefault="00E87624" w:rsidP="00FA2DD9">
      <w:pPr>
        <w:pStyle w:val="Listeavsnitt"/>
        <w:numPr>
          <w:ilvl w:val="0"/>
          <w:numId w:val="1"/>
        </w:numPr>
      </w:pPr>
      <w:r>
        <w:t>S</w:t>
      </w:r>
      <w:r w:rsidR="00405480" w:rsidRPr="00405480">
        <w:t xml:space="preserve">akens karakter - alvorlighetsgrad, kompleksitet </w:t>
      </w:r>
    </w:p>
    <w:p w14:paraId="6E951F13" w14:textId="7A52DADB" w:rsidR="00FA2DD9" w:rsidRDefault="00405480" w:rsidP="00405480">
      <w:pPr>
        <w:pStyle w:val="Listeavsnitt"/>
        <w:numPr>
          <w:ilvl w:val="0"/>
          <w:numId w:val="1"/>
        </w:numPr>
      </w:pPr>
      <w:r w:rsidRPr="00405480">
        <w:t xml:space="preserve">Behov for rask </w:t>
      </w:r>
      <w:r w:rsidR="00EA257D">
        <w:t xml:space="preserve">oppstart av </w:t>
      </w:r>
      <w:r w:rsidR="00FA2DD9" w:rsidRPr="00405480">
        <w:t>straff</w:t>
      </w:r>
      <w:r w:rsidRPr="00405480">
        <w:t>, herunder</w:t>
      </w:r>
      <w:r w:rsidR="00FA2DD9">
        <w:t xml:space="preserve"> f</w:t>
      </w:r>
      <w:r w:rsidRPr="00405480">
        <w:t>astsettelse av særvilkår o</w:t>
      </w:r>
      <w:r w:rsidR="00FA2DD9">
        <w:t>g</w:t>
      </w:r>
      <w:r w:rsidRPr="00405480">
        <w:t xml:space="preserve"> </w:t>
      </w:r>
      <w:r w:rsidR="00FA2DD9">
        <w:t>i</w:t>
      </w:r>
      <w:r w:rsidRPr="00405480">
        <w:t>gangsettelse av ungdomsstraff</w:t>
      </w:r>
    </w:p>
    <w:p w14:paraId="2D5E952E" w14:textId="53DEE220" w:rsidR="008C2845" w:rsidRDefault="00405480" w:rsidP="00405480">
      <w:pPr>
        <w:pStyle w:val="Listeavsnitt"/>
        <w:numPr>
          <w:ilvl w:val="0"/>
          <w:numId w:val="1"/>
        </w:numPr>
      </w:pPr>
      <w:r w:rsidRPr="00405480">
        <w:t>Andre tiltak som krever rask rettslig avklaring</w:t>
      </w:r>
    </w:p>
    <w:p w14:paraId="66297BC7" w14:textId="77777777" w:rsidR="00EA5548" w:rsidRDefault="00EA5548" w:rsidP="00EA5548"/>
    <w:p w14:paraId="255FA9A5" w14:textId="00F59688" w:rsidR="00EA5548" w:rsidRDefault="006A6883" w:rsidP="00EA5548">
      <w:pPr>
        <w:pStyle w:val="Overskrift2"/>
      </w:pPr>
      <w:r>
        <w:t>6</w:t>
      </w:r>
      <w:r w:rsidR="00EA5548">
        <w:t>. Tiltak for å unngå fristoverskridelse eller tvangsberamming</w:t>
      </w:r>
    </w:p>
    <w:p w14:paraId="628FA284" w14:textId="77777777" w:rsidR="00DE3342" w:rsidRDefault="00DE3342" w:rsidP="00DE3342"/>
    <w:p w14:paraId="1CE0E32A" w14:textId="73917C1C" w:rsidR="00DE3342" w:rsidRPr="00DE3342" w:rsidRDefault="00537C74" w:rsidP="00DE3342">
      <w:pPr>
        <w:pStyle w:val="Overskrift4"/>
      </w:pPr>
      <w:r>
        <w:t>Påtalemyndighet, forsvarer</w:t>
      </w:r>
      <w:r w:rsidR="00DE3342">
        <w:t xml:space="preserve"> </w:t>
      </w:r>
      <w:r w:rsidR="00120A04">
        <w:t xml:space="preserve">og bistandsadvokat </w:t>
      </w:r>
      <w:r w:rsidR="00DE3342">
        <w:t>bør</w:t>
      </w:r>
    </w:p>
    <w:p w14:paraId="0D4D21FD" w14:textId="24865992" w:rsidR="00EA5548" w:rsidRPr="00C91FFF" w:rsidRDefault="00EA257D" w:rsidP="00DE3342">
      <w:pPr>
        <w:pStyle w:val="Listeavsnitt"/>
        <w:numPr>
          <w:ilvl w:val="0"/>
          <w:numId w:val="2"/>
        </w:numPr>
      </w:pPr>
      <w:r w:rsidRPr="00C91FFF">
        <w:t>v</w:t>
      </w:r>
      <w:r w:rsidR="00EA5548" w:rsidRPr="00C91FFF">
        <w:t xml:space="preserve">urdere om tiltaleposter kan skilles ut og saken deles opp, for eksempel </w:t>
      </w:r>
    </w:p>
    <w:p w14:paraId="265BE06A" w14:textId="77777777" w:rsidR="00EA5548" w:rsidRDefault="00EA5548" w:rsidP="00DE3342">
      <w:pPr>
        <w:pStyle w:val="Listeavsnitt"/>
        <w:numPr>
          <w:ilvl w:val="1"/>
          <w:numId w:val="1"/>
        </w:numPr>
      </w:pPr>
      <w:r w:rsidRPr="00C91FFF">
        <w:t xml:space="preserve">ved tilståtte forhold </w:t>
      </w:r>
    </w:p>
    <w:p w14:paraId="5EB212DB" w14:textId="4AF54F83" w:rsidR="007B3AC2" w:rsidRPr="00C91FFF" w:rsidRDefault="007B3AC2" w:rsidP="00DE3342">
      <w:pPr>
        <w:pStyle w:val="Listeavsnitt"/>
        <w:numPr>
          <w:ilvl w:val="1"/>
          <w:numId w:val="1"/>
        </w:numPr>
      </w:pPr>
      <w:r w:rsidRPr="007B3AC2">
        <w:t>der noen forhold er ferdig etterforsket raskt, mens det for andre forhold er utsikt til en lenger etterforskning</w:t>
      </w:r>
    </w:p>
    <w:p w14:paraId="57269785" w14:textId="347BEFEA" w:rsidR="006A6883" w:rsidRPr="00C91FFF" w:rsidRDefault="006A6883" w:rsidP="00DE3342">
      <w:pPr>
        <w:pStyle w:val="Listeavsnitt"/>
        <w:numPr>
          <w:ilvl w:val="1"/>
          <w:numId w:val="1"/>
        </w:numPr>
      </w:pPr>
      <w:r w:rsidRPr="00C91FFF">
        <w:t xml:space="preserve">enkeltstående tiltaleposter </w:t>
      </w:r>
      <w:r w:rsidR="00B15526" w:rsidRPr="00C91FFF">
        <w:t xml:space="preserve">mot én eller to tiltalte </w:t>
      </w:r>
      <w:r w:rsidR="00A1403C" w:rsidRPr="00C91FFF">
        <w:t xml:space="preserve">med oversiktlig bevisbilde </w:t>
      </w:r>
    </w:p>
    <w:p w14:paraId="6CE7C11F" w14:textId="3F4DCA6F" w:rsidR="00EA5548" w:rsidRDefault="00EA5548" w:rsidP="00DE3342">
      <w:pPr>
        <w:pStyle w:val="Listeavsnitt"/>
        <w:numPr>
          <w:ilvl w:val="1"/>
          <w:numId w:val="1"/>
        </w:numPr>
      </w:pPr>
      <w:r w:rsidRPr="00C91FFF">
        <w:t>der noen forhold er begått som mindreårig, andre som myndig</w:t>
      </w:r>
    </w:p>
    <w:p w14:paraId="60C1DA8B" w14:textId="77777777" w:rsidR="00FB5474" w:rsidRPr="00C91FFF" w:rsidRDefault="00FB5474" w:rsidP="00FB5474">
      <w:pPr>
        <w:pStyle w:val="Listeavsnitt"/>
        <w:ind w:left="1440"/>
      </w:pPr>
    </w:p>
    <w:p w14:paraId="42CCAFFE" w14:textId="77777777" w:rsidR="00294BD4" w:rsidRDefault="00294BD4" w:rsidP="00AF1011">
      <w:pPr>
        <w:pStyle w:val="Listeavsnitt"/>
        <w:ind w:left="1440"/>
      </w:pPr>
    </w:p>
    <w:p w14:paraId="1A48005A" w14:textId="6E52E170" w:rsidR="00FB5474" w:rsidRDefault="00FB5474" w:rsidP="00294BD4">
      <w:pPr>
        <w:pStyle w:val="Listeavsnitt"/>
        <w:numPr>
          <w:ilvl w:val="0"/>
          <w:numId w:val="1"/>
        </w:numPr>
      </w:pPr>
      <w:r w:rsidRPr="00FB5474">
        <w:t>Påtalemyndigheten bør ha en plan for aktorering ved innsending til berammelse og bør ha kontakt med andre aktører ved innsendelse til retten før sommerferie</w:t>
      </w:r>
      <w:r w:rsidR="004377AB">
        <w:t>, påskeferie og juleferie</w:t>
      </w:r>
      <w:r w:rsidRPr="00FB5474">
        <w:t>.</w:t>
      </w:r>
    </w:p>
    <w:p w14:paraId="75DB135D" w14:textId="2F7BD747" w:rsidR="00294BD4" w:rsidRDefault="00FB5474" w:rsidP="00294BD4">
      <w:pPr>
        <w:pStyle w:val="Listeavsnitt"/>
        <w:numPr>
          <w:ilvl w:val="0"/>
          <w:numId w:val="1"/>
        </w:numPr>
      </w:pPr>
      <w:r>
        <w:t xml:space="preserve">Påtalemyndigheten bør </w:t>
      </w:r>
      <w:r w:rsidR="00EA257D">
        <w:t>b</w:t>
      </w:r>
      <w:r w:rsidR="00294BD4">
        <w:t xml:space="preserve">ruke forhåndberammelse </w:t>
      </w:r>
      <w:r w:rsidR="007B3AC2">
        <w:t>der saken er egnet for dette</w:t>
      </w:r>
      <w:r w:rsidR="00294BD4">
        <w:t>, særlig i saker med flere aktører og før rettsferier</w:t>
      </w:r>
      <w:r w:rsidR="00EA257D">
        <w:t>. Dette</w:t>
      </w:r>
      <w:r w:rsidR="00B30D23">
        <w:t xml:space="preserve"> anbefales som rutine i Ot.prp.nr 66 (2001-2002) s 74 for å unngå tvangsberammelser.</w:t>
      </w:r>
    </w:p>
    <w:p w14:paraId="7C3C7994" w14:textId="0AD5BA90" w:rsidR="00AF1011" w:rsidRDefault="00EA257D" w:rsidP="00AF1011">
      <w:pPr>
        <w:pStyle w:val="Listeavsnitt"/>
        <w:numPr>
          <w:ilvl w:val="0"/>
          <w:numId w:val="2"/>
        </w:numPr>
      </w:pPr>
      <w:r>
        <w:lastRenderedPageBreak/>
        <w:t>gi r</w:t>
      </w:r>
      <w:r w:rsidR="00AF1011">
        <w:t>ask tilbakemelding til retten for avklaring av tidspunkt til hovedforhandling</w:t>
      </w:r>
      <w:r w:rsidR="00E66DE5">
        <w:t xml:space="preserve"> (slik at frist på 2 uker overholdes)</w:t>
      </w:r>
    </w:p>
    <w:p w14:paraId="62B95D48" w14:textId="5F81E1BC" w:rsidR="00AF1011" w:rsidRDefault="00EA257D" w:rsidP="00AF1011">
      <w:pPr>
        <w:pStyle w:val="Listeavsnitt"/>
        <w:numPr>
          <w:ilvl w:val="0"/>
          <w:numId w:val="1"/>
        </w:numPr>
      </w:pPr>
      <w:r>
        <w:t>o</w:t>
      </w:r>
      <w:r w:rsidR="00AF1011">
        <w:t>ppgi kontaktpersoner som kan kontaktes for berammelse i eget fravær</w:t>
      </w:r>
    </w:p>
    <w:p w14:paraId="535C5770" w14:textId="72999028" w:rsidR="00DE3342" w:rsidRDefault="009B6F82" w:rsidP="00DE3342">
      <w:pPr>
        <w:pStyle w:val="Listeavsnitt"/>
        <w:numPr>
          <w:ilvl w:val="0"/>
          <w:numId w:val="1"/>
        </w:numPr>
      </w:pPr>
      <w:r>
        <w:t>bruke l</w:t>
      </w:r>
      <w:r w:rsidR="00DE3342">
        <w:t>engre rettsdager og færre pauser hvis ungdommen nærmer seg eller har fylt 18 år når hovedforhandling skal gjennomføres</w:t>
      </w:r>
      <w:r w:rsidR="00294BD4">
        <w:t>, dersom det</w:t>
      </w:r>
      <w:r>
        <w:t xml:space="preserve"> kan gi</w:t>
      </w:r>
      <w:r w:rsidR="00294BD4">
        <w:t xml:space="preserve"> færre rettsdager</w:t>
      </w:r>
      <w:r w:rsidR="00DE3342">
        <w:t xml:space="preserve">. </w:t>
      </w:r>
    </w:p>
    <w:p w14:paraId="1FD30144" w14:textId="26B8EF77" w:rsidR="008F3670" w:rsidRDefault="008F3670" w:rsidP="008F3670">
      <w:pPr>
        <w:pStyle w:val="Overskrift4"/>
      </w:pPr>
      <w:r>
        <w:t>Domstolen bør</w:t>
      </w:r>
    </w:p>
    <w:p w14:paraId="58BA2B87" w14:textId="36ADE7DA" w:rsidR="00D35337" w:rsidRDefault="009B6F82" w:rsidP="00D35337">
      <w:pPr>
        <w:pStyle w:val="Listeavsnitt"/>
        <w:numPr>
          <w:ilvl w:val="0"/>
          <w:numId w:val="1"/>
        </w:numPr>
      </w:pPr>
      <w:r>
        <w:t>prioritere s</w:t>
      </w:r>
      <w:r w:rsidR="00D35337">
        <w:t>ak av kort varighet foran lengre saker</w:t>
      </w:r>
    </w:p>
    <w:p w14:paraId="1ECAF73B" w14:textId="66DB9030" w:rsidR="00B15526" w:rsidRPr="00C91FFF" w:rsidRDefault="00B15526" w:rsidP="00D35337">
      <w:pPr>
        <w:pStyle w:val="Listeavsnitt"/>
        <w:numPr>
          <w:ilvl w:val="0"/>
          <w:numId w:val="1"/>
        </w:numPr>
      </w:pPr>
      <w:r w:rsidRPr="00C91FFF">
        <w:t>prioritere sak som ikke allerede er gam</w:t>
      </w:r>
      <w:r w:rsidR="00204D61" w:rsidRPr="00C91FFF">
        <w:t>mel</w:t>
      </w:r>
      <w:r w:rsidRPr="00C91FFF">
        <w:t xml:space="preserve"> når saken kommer inn</w:t>
      </w:r>
    </w:p>
    <w:p w14:paraId="782629D0" w14:textId="718AB552" w:rsidR="00D35337" w:rsidRPr="00C91FFF" w:rsidRDefault="009B6F82" w:rsidP="00D35337">
      <w:pPr>
        <w:pStyle w:val="Listeavsnitt"/>
        <w:numPr>
          <w:ilvl w:val="0"/>
          <w:numId w:val="1"/>
        </w:numPr>
      </w:pPr>
      <w:r w:rsidRPr="00C91FFF">
        <w:t>g</w:t>
      </w:r>
      <w:r w:rsidR="00D35337" w:rsidRPr="00C91FFF">
        <w:t>jennomføre planmøte hvis beramming tar tid eller det ellers er hensiktsmessig</w:t>
      </w:r>
    </w:p>
    <w:p w14:paraId="63DC9CAF" w14:textId="592C12AF" w:rsidR="00DE3342" w:rsidRDefault="009B6F82" w:rsidP="00DE3342">
      <w:pPr>
        <w:pStyle w:val="Listeavsnitt"/>
        <w:numPr>
          <w:ilvl w:val="0"/>
          <w:numId w:val="1"/>
        </w:numPr>
      </w:pPr>
      <w:r w:rsidRPr="00C91FFF">
        <w:t>s</w:t>
      </w:r>
      <w:r w:rsidR="00DF4B54" w:rsidRPr="00C91FFF">
        <w:t>ette andre saker dommerløse for å frigi kapasitet</w:t>
      </w:r>
      <w:r w:rsidR="00AF1011" w:rsidRPr="00C91FFF">
        <w:t>. D</w:t>
      </w:r>
      <w:r w:rsidR="00DF4B54" w:rsidRPr="00C91FFF">
        <w:t>eretter utsette</w:t>
      </w:r>
      <w:r w:rsidR="00DF4B54">
        <w:t xml:space="preserve"> </w:t>
      </w:r>
      <w:r w:rsidR="00DE3342">
        <w:t xml:space="preserve">saker med voksne aktører </w:t>
      </w:r>
      <w:r w:rsidR="00AF1011">
        <w:t xml:space="preserve">hvis </w:t>
      </w:r>
      <w:r>
        <w:t>é</w:t>
      </w:r>
      <w:r w:rsidR="00AF1011">
        <w:t xml:space="preserve">n av sakene må utsettes grunnet </w:t>
      </w:r>
      <w:r w:rsidR="00D35337">
        <w:t xml:space="preserve">domstolens </w:t>
      </w:r>
      <w:r w:rsidR="00DE3342">
        <w:t>kapasitet når hovedforhandling skal avholdes</w:t>
      </w:r>
    </w:p>
    <w:p w14:paraId="4045B4C9" w14:textId="7C15ECB0" w:rsidR="00120A04" w:rsidRDefault="009B6F82" w:rsidP="00DE3342">
      <w:pPr>
        <w:pStyle w:val="Listeavsnitt"/>
        <w:numPr>
          <w:ilvl w:val="0"/>
          <w:numId w:val="1"/>
        </w:numPr>
      </w:pPr>
      <w:r>
        <w:t>sette d</w:t>
      </w:r>
      <w:r w:rsidR="00120A04">
        <w:t>et frie forsvarervalg foran fritt valg av bistandsadvokat</w:t>
      </w:r>
      <w:r w:rsidR="001B610F">
        <w:t>,</w:t>
      </w:r>
      <w:r w:rsidR="00120A04">
        <w:t xml:space="preserve"> dersom dette bidrar til at fristen overholdes </w:t>
      </w:r>
    </w:p>
    <w:p w14:paraId="4EF056A6" w14:textId="770A5D00" w:rsidR="00CB6CC6" w:rsidRDefault="009B6F82" w:rsidP="004377AB">
      <w:pPr>
        <w:pStyle w:val="Listeavsnitt"/>
        <w:numPr>
          <w:ilvl w:val="0"/>
          <w:numId w:val="1"/>
        </w:numPr>
      </w:pPr>
      <w:r>
        <w:t>oppnevne e</w:t>
      </w:r>
      <w:r w:rsidR="00D35337">
        <w:t xml:space="preserve">n annen forsvarer for å unngå forsinkelse av </w:t>
      </w:r>
      <w:r w:rsidR="00A36C45">
        <w:t xml:space="preserve">betydning for </w:t>
      </w:r>
      <w:r w:rsidR="00D35337">
        <w:t xml:space="preserve">saken, jf. </w:t>
      </w:r>
      <w:proofErr w:type="spellStart"/>
      <w:r w:rsidR="00D35337">
        <w:t>strpl</w:t>
      </w:r>
      <w:proofErr w:type="spellEnd"/>
      <w:r w:rsidR="00D35337">
        <w:t xml:space="preserve"> § 105 første ledd. </w:t>
      </w:r>
      <w:r w:rsidR="00CB6CC6">
        <w:t xml:space="preserve">Det forutsetter at valgt forsvarer har fått ulike tidspunkt å velge mellom før saken berammes. </w:t>
      </w:r>
      <w:r w:rsidR="00FF40C8">
        <w:t>Hvorfor forsvarer ikke kan møte er underordnet, det er forsinkelsen som er avgjørende</w:t>
      </w:r>
      <w:r w:rsidR="00A24366">
        <w:t xml:space="preserve"> </w:t>
      </w:r>
    </w:p>
    <w:p w14:paraId="0E8CF167" w14:textId="24FDC9A3" w:rsidR="004377AB" w:rsidRDefault="004377AB" w:rsidP="004377AB">
      <w:pPr>
        <w:pStyle w:val="Listeavsnitt"/>
        <w:numPr>
          <w:ilvl w:val="0"/>
          <w:numId w:val="1"/>
        </w:numPr>
      </w:pPr>
      <w:r>
        <w:t>prioritere fritt forsvarervalg for de yngste tiltalte i saker med flere aktører som ikke kan møte samtidig innen frist, eller kort tid etter frist.</w:t>
      </w:r>
    </w:p>
    <w:p w14:paraId="700771FD" w14:textId="193142FF" w:rsidR="00204D61" w:rsidRDefault="00CB6CC6" w:rsidP="00204D61">
      <w:pPr>
        <w:pStyle w:val="Listeavsnitt"/>
        <w:numPr>
          <w:ilvl w:val="0"/>
          <w:numId w:val="1"/>
        </w:numPr>
      </w:pPr>
      <w:r>
        <w:t>være bevisst på at d</w:t>
      </w:r>
      <w:r w:rsidR="00A24366">
        <w:t xml:space="preserve">omstolens kapasitet ikke </w:t>
      </w:r>
      <w:r>
        <w:t xml:space="preserve">går </w:t>
      </w:r>
      <w:r w:rsidR="00A24366">
        <w:t>foran det frie forsvarervalg</w:t>
      </w:r>
      <w:r w:rsidR="00204D61">
        <w:t xml:space="preserve"> jf.</w:t>
      </w:r>
      <w:r w:rsidR="00A24366">
        <w:t xml:space="preserve"> </w:t>
      </w:r>
      <w:proofErr w:type="spellStart"/>
      <w:r w:rsidR="00A24366" w:rsidRPr="00A24366">
        <w:t>Rt</w:t>
      </w:r>
      <w:proofErr w:type="spellEnd"/>
      <w:r w:rsidR="00204D61">
        <w:t>.</w:t>
      </w:r>
      <w:r w:rsidR="00A24366" w:rsidRPr="00A24366">
        <w:t xml:space="preserve"> 2009</w:t>
      </w:r>
      <w:r w:rsidR="001E03CC">
        <w:t xml:space="preserve"> -</w:t>
      </w:r>
      <w:r w:rsidR="00204D61">
        <w:t xml:space="preserve"> </w:t>
      </w:r>
      <w:r w:rsidR="00A24366" w:rsidRPr="00A24366">
        <w:t>637</w:t>
      </w:r>
    </w:p>
    <w:p w14:paraId="5CCC84A4" w14:textId="0B41A299" w:rsidR="00FF40C8" w:rsidRDefault="00FF40C8" w:rsidP="00204D61">
      <w:pPr>
        <w:pStyle w:val="Listeavsnitt"/>
        <w:numPr>
          <w:ilvl w:val="0"/>
          <w:numId w:val="1"/>
        </w:numPr>
      </w:pPr>
      <w:r>
        <w:t>Det samme gjelder i utgangspunktet for nektelse av å omberamme hovedforhandling. Skifter tiltalte forsvarer og dette medfører forsinkelse av saken av betydning, bør det ikke tillates</w:t>
      </w:r>
      <w:r w:rsidR="00B30D23">
        <w:t>.</w:t>
      </w:r>
    </w:p>
    <w:p w14:paraId="71AB8B6E" w14:textId="5D378AD6" w:rsidR="00AF1011" w:rsidRDefault="00AF1011" w:rsidP="00AF1011">
      <w:r>
        <w:t xml:space="preserve">Merk at: </w:t>
      </w:r>
    </w:p>
    <w:p w14:paraId="4D6CBB25" w14:textId="0450CCA9" w:rsidR="00A24366" w:rsidRDefault="00120A04" w:rsidP="00AF1011">
      <w:pPr>
        <w:pStyle w:val="Listeavsnitt"/>
        <w:numPr>
          <w:ilvl w:val="0"/>
          <w:numId w:val="1"/>
        </w:numPr>
      </w:pPr>
      <w:r>
        <w:t>Tvangsberamming på bekostning av fritt forsvarervalg kan ankes</w:t>
      </w:r>
      <w:r w:rsidR="0094150F">
        <w:t xml:space="preserve"> (</w:t>
      </w:r>
      <w:proofErr w:type="spellStart"/>
      <w:r w:rsidR="0094150F">
        <w:t>Rt</w:t>
      </w:r>
      <w:proofErr w:type="spellEnd"/>
      <w:r w:rsidR="0094150F">
        <w:t>. 2009-427</w:t>
      </w:r>
      <w:r w:rsidR="00600AAA">
        <w:t>,</w:t>
      </w:r>
      <w:r w:rsidR="0094150F">
        <w:t xml:space="preserve"> HR-2020-1855-U</w:t>
      </w:r>
      <w:r w:rsidR="00A24366">
        <w:t>.</w:t>
      </w:r>
      <w:r>
        <w:t xml:space="preserve"> </w:t>
      </w:r>
    </w:p>
    <w:p w14:paraId="5E7CDB71" w14:textId="4400BF7F" w:rsidR="00120A04" w:rsidRDefault="00A24366" w:rsidP="00AF1011">
      <w:pPr>
        <w:pStyle w:val="Listeavsnitt"/>
        <w:numPr>
          <w:ilvl w:val="0"/>
          <w:numId w:val="1"/>
        </w:numPr>
      </w:pPr>
      <w:r>
        <w:t>T</w:t>
      </w:r>
      <w:r w:rsidR="00120A04">
        <w:t xml:space="preserve">vangsberamming på bekostning av påtalemyndighet kan ikke ankes. </w:t>
      </w:r>
    </w:p>
    <w:p w14:paraId="7BFCDBF6" w14:textId="412CA95B" w:rsidR="0094150F" w:rsidRDefault="0094150F" w:rsidP="00DE3342">
      <w:pPr>
        <w:pStyle w:val="Listeavsnitt"/>
        <w:numPr>
          <w:ilvl w:val="0"/>
          <w:numId w:val="1"/>
        </w:numPr>
      </w:pPr>
      <w:r>
        <w:t xml:space="preserve">Beslutning om fristoverskridelse skal begrunnes i rettsbok, jf. </w:t>
      </w:r>
      <w:proofErr w:type="spellStart"/>
      <w:r>
        <w:t>strpl</w:t>
      </w:r>
      <w:proofErr w:type="spellEnd"/>
      <w:r>
        <w:t xml:space="preserve"> § 275 3. ledd.</w:t>
      </w:r>
    </w:p>
    <w:p w14:paraId="4E70FDCB" w14:textId="77777777" w:rsidR="008F3670" w:rsidRDefault="008F3670" w:rsidP="008F3670"/>
    <w:p w14:paraId="2F93444A" w14:textId="6BC70661" w:rsidR="008F3670" w:rsidRDefault="00443FEA" w:rsidP="008F3670">
      <w:pPr>
        <w:pStyle w:val="Overskrift2"/>
      </w:pPr>
      <w:r>
        <w:t>7</w:t>
      </w:r>
      <w:r w:rsidR="008F3670">
        <w:t>. Tvangsberamming</w:t>
      </w:r>
    </w:p>
    <w:p w14:paraId="29B55CEE" w14:textId="77777777" w:rsidR="00DF4B54" w:rsidRPr="00DF4B54" w:rsidRDefault="00DF4B54" w:rsidP="00DF4B54"/>
    <w:p w14:paraId="74F84A4B" w14:textId="12397EEA" w:rsidR="00DF4B54" w:rsidRDefault="008F3670" w:rsidP="008F3670">
      <w:pPr>
        <w:pStyle w:val="Listeavsnitt"/>
        <w:numPr>
          <w:ilvl w:val="0"/>
          <w:numId w:val="1"/>
        </w:numPr>
      </w:pPr>
      <w:r>
        <w:t xml:space="preserve">Tvangsberamming </w:t>
      </w:r>
      <w:r w:rsidR="00862312">
        <w:t xml:space="preserve">kan </w:t>
      </w:r>
      <w:r>
        <w:t>gjennomføres når aktørene ikke har svart</w:t>
      </w:r>
      <w:r w:rsidR="008D3657">
        <w:t xml:space="preserve"> retten om når de kan stille</w:t>
      </w:r>
      <w:r>
        <w:t xml:space="preserve"> </w:t>
      </w:r>
      <w:r w:rsidR="00190572">
        <w:t xml:space="preserve">i rettsmøte </w:t>
      </w:r>
      <w:r>
        <w:t xml:space="preserve">innen </w:t>
      </w:r>
      <w:r w:rsidR="00190572">
        <w:t xml:space="preserve">en </w:t>
      </w:r>
      <w:r>
        <w:t xml:space="preserve">oppgitt frist. </w:t>
      </w:r>
    </w:p>
    <w:p w14:paraId="4A9E0B90" w14:textId="67849036" w:rsidR="006B6264" w:rsidRDefault="008D3657" w:rsidP="006B6264">
      <w:pPr>
        <w:pStyle w:val="Listeavsnitt"/>
        <w:numPr>
          <w:ilvl w:val="0"/>
          <w:numId w:val="1"/>
        </w:numPr>
      </w:pPr>
      <w:r>
        <w:t xml:space="preserve">Dersom </w:t>
      </w:r>
      <w:r w:rsidR="00190572">
        <w:t xml:space="preserve">en eller flere aktører ikke kan </w:t>
      </w:r>
      <w:r w:rsidR="00D96158">
        <w:t>møte</w:t>
      </w:r>
      <w:r w:rsidR="00190572">
        <w:t xml:space="preserve"> innen lovens frist, og det ikke foreligger tungtveiende hensyn som nevnt over, vil saken bli tvangsberammet</w:t>
      </w:r>
      <w:r w:rsidR="00D96158">
        <w:t xml:space="preserve"> overfor en eller flere aktører</w:t>
      </w:r>
      <w:r w:rsidR="006B6264">
        <w:t xml:space="preserve">. </w:t>
      </w:r>
    </w:p>
    <w:p w14:paraId="7DEA9C6D" w14:textId="13908A81" w:rsidR="00B30D23" w:rsidRDefault="00B30D23" w:rsidP="006B6264"/>
    <w:p w14:paraId="5C15682E" w14:textId="77777777" w:rsidR="00115BD9" w:rsidRPr="00940BDC" w:rsidRDefault="00115BD9" w:rsidP="006B6264"/>
    <w:p w14:paraId="37858147" w14:textId="1CEAF0C4" w:rsidR="00F57626" w:rsidRDefault="00E32CC3" w:rsidP="001F11FA">
      <w:pPr>
        <w:pStyle w:val="Overskrift2"/>
      </w:pPr>
      <w:r>
        <w:lastRenderedPageBreak/>
        <w:t>8</w:t>
      </w:r>
      <w:r w:rsidRPr="001F11FA">
        <w:t xml:space="preserve">.  </w:t>
      </w:r>
      <w:r w:rsidR="00F57626" w:rsidRPr="001F11FA">
        <w:t>Gjengivelse fra sentrale</w:t>
      </w:r>
      <w:r w:rsidR="00F57626" w:rsidRPr="00F57626">
        <w:t xml:space="preserve"> forarbeider - Ot. </w:t>
      </w:r>
      <w:proofErr w:type="spellStart"/>
      <w:r w:rsidR="00F57626" w:rsidRPr="00F57626">
        <w:t>Prp</w:t>
      </w:r>
      <w:proofErr w:type="spellEnd"/>
      <w:r w:rsidR="00F57626" w:rsidRPr="00F57626">
        <w:t xml:space="preserve"> </w:t>
      </w:r>
      <w:proofErr w:type="spellStart"/>
      <w:r w:rsidR="00F57626" w:rsidRPr="00F57626">
        <w:t>nr</w:t>
      </w:r>
      <w:proofErr w:type="spellEnd"/>
      <w:r w:rsidR="00F57626" w:rsidRPr="00F57626">
        <w:t xml:space="preserve"> 66 (2001- 2002)</w:t>
      </w:r>
    </w:p>
    <w:p w14:paraId="5342AD71" w14:textId="77777777" w:rsidR="00F57626" w:rsidRDefault="00F57626" w:rsidP="00DF4B54"/>
    <w:p w14:paraId="40E6A78A" w14:textId="15FA486F" w:rsidR="00753602" w:rsidRDefault="00753602" w:rsidP="00DF4B54">
      <w:r>
        <w:t>Fra s. 66</w:t>
      </w:r>
    </w:p>
    <w:p w14:paraId="4E21A8EA" w14:textId="77777777" w:rsidR="00753602" w:rsidRPr="00753602" w:rsidRDefault="00753602" w:rsidP="00753602">
      <w:pPr>
        <w:rPr>
          <w:i/>
          <w:iCs/>
        </w:rPr>
      </w:pPr>
      <w:r w:rsidRPr="00753602">
        <w:rPr>
          <w:i/>
          <w:iCs/>
        </w:rPr>
        <w:t xml:space="preserve">Departementet antar at det særlig kan være aktuelt å </w:t>
      </w:r>
      <w:proofErr w:type="spellStart"/>
      <w:r w:rsidRPr="00753602">
        <w:rPr>
          <w:i/>
          <w:iCs/>
        </w:rPr>
        <w:t>forhåndsberamme</w:t>
      </w:r>
      <w:proofErr w:type="spellEnd"/>
      <w:r w:rsidRPr="00753602">
        <w:rPr>
          <w:i/>
          <w:iCs/>
        </w:rPr>
        <w:t xml:space="preserve"> hovedforhandling i saker der den siktede er varetektsfengslet og i saker med unge lovbrytere. Departementet har fått opplyst at forhåndsberamming i enkelte distrikter allerede i dag foregår i utstrakt grad i saker med unge lovbrytere. Hovedforhandling berammes da i forbindelse med førstegangsfremstilling for varetektsfengsling.</w:t>
      </w:r>
    </w:p>
    <w:p w14:paraId="7C59EC8D" w14:textId="77777777" w:rsidR="00753602" w:rsidRPr="00753602" w:rsidRDefault="00753602" w:rsidP="00753602">
      <w:pPr>
        <w:rPr>
          <w:i/>
          <w:iCs/>
        </w:rPr>
      </w:pPr>
      <w:r w:rsidRPr="00753602">
        <w:rPr>
          <w:i/>
          <w:iCs/>
        </w:rPr>
        <w:t>Forhåndsberamming kan være aktuelt også i andre saker, for eksempel i saker hvor det er klart at aktor eller forsvarer vil ha problemer med å møte på kort varsel. Det samme gjelder i komplekse og tidkrevende saker som domstolene vil ha behov for å reservere tid til på et tidlig tidspunkt for å unngå forsinkelser.</w:t>
      </w:r>
    </w:p>
    <w:p w14:paraId="6680C0E0" w14:textId="77777777" w:rsidR="00753602" w:rsidRDefault="00753602" w:rsidP="00DF4B54"/>
    <w:p w14:paraId="1AFCCB01" w14:textId="6D8D72FA" w:rsidR="00F57626" w:rsidRDefault="00E32CC3" w:rsidP="00DF4B54">
      <w:r>
        <w:t xml:space="preserve">Fra </w:t>
      </w:r>
      <w:r w:rsidR="00010AF7">
        <w:t>s</w:t>
      </w:r>
      <w:r w:rsidR="001F11FA">
        <w:t>.</w:t>
      </w:r>
      <w:r w:rsidR="00010AF7">
        <w:t xml:space="preserve"> </w:t>
      </w:r>
      <w:r w:rsidR="00F57626">
        <w:t>70</w:t>
      </w:r>
    </w:p>
    <w:p w14:paraId="18A58392" w14:textId="4DA45FF7" w:rsidR="00F57626" w:rsidRPr="00F57626" w:rsidRDefault="00F57626" w:rsidP="00F57626">
      <w:pPr>
        <w:ind w:left="708"/>
        <w:rPr>
          <w:i/>
          <w:iCs/>
        </w:rPr>
      </w:pPr>
      <w:r w:rsidRPr="00F57626">
        <w:rPr>
          <w:i/>
          <w:iCs/>
        </w:rPr>
        <w:t xml:space="preserve">Departementet har flere ganger foran lagt til grunn at det er spesielt viktig med hurtigere straffesaksbehandling i saker med unge lovbrytere og i </w:t>
      </w:r>
      <w:proofErr w:type="spellStart"/>
      <w:r w:rsidRPr="00F57626">
        <w:rPr>
          <w:i/>
          <w:iCs/>
        </w:rPr>
        <w:t>varetektssaker</w:t>
      </w:r>
      <w:proofErr w:type="spellEnd"/>
      <w:r w:rsidRPr="00F57626">
        <w:rPr>
          <w:i/>
          <w:iCs/>
        </w:rPr>
        <w:t>. Derfor er det større behov for å begrense det frie forsvarervalget i disse sakene enn i andre saker, samtidig som begrensningen vil være mer forsvarlig</w:t>
      </w:r>
    </w:p>
    <w:p w14:paraId="1FEC5052" w14:textId="77777777" w:rsidR="00F57626" w:rsidRDefault="00F57626" w:rsidP="00DF4B54"/>
    <w:p w14:paraId="05B7EF08" w14:textId="634C7707" w:rsidR="00135569" w:rsidRDefault="00135569" w:rsidP="00DF4B54">
      <w:r>
        <w:t xml:space="preserve">Fra s. 74 </w:t>
      </w:r>
    </w:p>
    <w:p w14:paraId="35ABC1B1" w14:textId="583F5035" w:rsidR="00135569" w:rsidRPr="000C1713" w:rsidRDefault="00135569" w:rsidP="00135569">
      <w:pPr>
        <w:ind w:left="708" w:firstLine="2"/>
        <w:rPr>
          <w:i/>
          <w:iCs/>
        </w:rPr>
      </w:pPr>
      <w:r w:rsidRPr="000C1713">
        <w:rPr>
          <w:i/>
          <w:iCs/>
        </w:rPr>
        <w:t>Departementet vil imidlertid understreke betydningen av at det legges opp til rutiner som gjør at det bare er aktuelt å oppnevne en annen forsvarer enn den siktede ønsker, i de saker hvor forsvareren er den reelle årsaken til forsinkelse. I punkt 6 er det pekt på mulighetene for forhåndsberammelser. Påtalemyndigheten og domstolene bør dessuten ha rutiner som gjør at personskifter også kan skje på disse sider hvis det er sentralt for fremdriften av saken. I normaltilfellene kan det ikke være akseptabelt at forsvareren kun blir presentert én mulighet for når hovedforhandlingen skal avholdes bare fordi vedkommende aktor eller dommer har et stramt arbeidsprogram</w:t>
      </w:r>
      <w:r w:rsidR="000C1713" w:rsidRPr="000C1713">
        <w:rPr>
          <w:i/>
          <w:iCs/>
        </w:rPr>
        <w:t>.</w:t>
      </w:r>
    </w:p>
    <w:p w14:paraId="5691E755" w14:textId="402354BB" w:rsidR="00DF4B54" w:rsidRDefault="00F57626" w:rsidP="00DF4B54">
      <w:r>
        <w:t xml:space="preserve">Fra s. </w:t>
      </w:r>
      <w:r w:rsidR="00010AF7">
        <w:t xml:space="preserve">132, 133 </w:t>
      </w:r>
    </w:p>
    <w:p w14:paraId="41A737CB" w14:textId="267665CD" w:rsidR="00E32CC3" w:rsidRPr="00E32CC3" w:rsidRDefault="00E32CC3" w:rsidP="00F57626">
      <w:pPr>
        <w:ind w:left="708"/>
        <w:rPr>
          <w:i/>
          <w:iCs/>
        </w:rPr>
      </w:pPr>
      <w:r w:rsidRPr="00E32CC3">
        <w:rPr>
          <w:i/>
          <w:iCs/>
        </w:rPr>
        <w:t xml:space="preserve">Normalt vil overholdelse av fristene i § 275 være et tungtveiende argument. Men det kan tenkes </w:t>
      </w:r>
      <w:r w:rsidR="00F57626">
        <w:rPr>
          <w:i/>
          <w:iCs/>
        </w:rPr>
        <w:tab/>
      </w:r>
      <w:r w:rsidRPr="00E32CC3">
        <w:rPr>
          <w:i/>
          <w:iCs/>
        </w:rPr>
        <w:t>tilfelle der dette hensynet vil måtte vike. Momenter ved vurderingen</w:t>
      </w:r>
      <w:r w:rsidRPr="00E32CC3">
        <w:rPr>
          <w:b/>
          <w:bCs/>
          <w:i/>
          <w:iCs/>
        </w:rPr>
        <w:t xml:space="preserve"> </w:t>
      </w:r>
      <w:r w:rsidRPr="00E32CC3">
        <w:rPr>
          <w:i/>
          <w:iCs/>
        </w:rPr>
        <w:t>er hensynet til andre siktede i samme sak, den fornærmede, siktedes personlige forhold og overholdelse av internasjonale forpliktelser.</w:t>
      </w:r>
      <w:r w:rsidR="00010AF7">
        <w:rPr>
          <w:i/>
          <w:iCs/>
        </w:rPr>
        <w:t xml:space="preserve"> </w:t>
      </w:r>
      <w:r w:rsidR="00010AF7" w:rsidRPr="00010AF7">
        <w:t>(Barnekonvensjonen og EMK).</w:t>
      </w:r>
      <w:r w:rsidRPr="00E32CC3">
        <w:rPr>
          <w:i/>
          <w:iCs/>
        </w:rPr>
        <w:t xml:space="preserve"> </w:t>
      </w:r>
    </w:p>
    <w:p w14:paraId="631F28CD" w14:textId="3A82F4EB" w:rsidR="00DF4B54" w:rsidRPr="00115BD9" w:rsidRDefault="00E32CC3" w:rsidP="00115BD9">
      <w:pPr>
        <w:ind w:left="708"/>
        <w:rPr>
          <w:i/>
          <w:iCs/>
        </w:rPr>
      </w:pPr>
      <w:r w:rsidRPr="00E32CC3">
        <w:rPr>
          <w:i/>
          <w:iCs/>
        </w:rPr>
        <w:t>Av betydning er det også om den siktede har brukt forsvareren tidligere i saken, for eksempel i forbindelse med varetekt eller i en tidligere rettsinstans. Videre må retten vurdere hvor lang forsinkelse oppnevning av den forsvareren siktede ønsker, vil føre til. Det bør også legges vekt på om påtalemyndigheten har forsøkt å reservere tid før saken ble sendt til domstolen. I avveiningen vil retten alltid måtte legge vekt på at det frie forsvarervalg er et sentralt prinsipp i norsk rettspleie</w:t>
      </w:r>
      <w:r w:rsidR="00115BD9">
        <w:rPr>
          <w:i/>
          <w:iCs/>
        </w:rPr>
        <w:t>.</w:t>
      </w:r>
    </w:p>
    <w:p w14:paraId="5E5F8BB9" w14:textId="55B16E7F" w:rsidR="00DF4B54" w:rsidRPr="00DF4B54" w:rsidRDefault="00DF4B54" w:rsidP="00DF4B54">
      <w:pPr>
        <w:tabs>
          <w:tab w:val="left" w:pos="2100"/>
        </w:tabs>
      </w:pPr>
    </w:p>
    <w:sectPr w:rsidR="00DF4B54" w:rsidRPr="00DF4B5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9F61A" w14:textId="77777777" w:rsidR="008658D9" w:rsidRDefault="008658D9" w:rsidP="0094150F">
      <w:pPr>
        <w:spacing w:after="0" w:line="240" w:lineRule="auto"/>
      </w:pPr>
      <w:r>
        <w:separator/>
      </w:r>
    </w:p>
  </w:endnote>
  <w:endnote w:type="continuationSeparator" w:id="0">
    <w:p w14:paraId="29427FF5" w14:textId="77777777" w:rsidR="008658D9" w:rsidRDefault="008658D9" w:rsidP="00941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0D52" w14:textId="15D35422" w:rsidR="0094150F" w:rsidRDefault="0094150F">
    <w:pPr>
      <w:pStyle w:val="Bunntekst"/>
    </w:pPr>
    <w:r>
      <w:t xml:space="preserve">Oslo tingretts retningslinje av </w:t>
    </w:r>
    <w:r w:rsidR="00443FEA">
      <w:t>12</w:t>
    </w:r>
    <w:r>
      <w:t>.</w:t>
    </w:r>
    <w:r w:rsidR="00443FEA">
      <w:t>0</w:t>
    </w:r>
    <w:r>
      <w:t>1.25</w:t>
    </w:r>
  </w:p>
  <w:p w14:paraId="0195993A" w14:textId="77777777" w:rsidR="0094150F" w:rsidRDefault="0094150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02E31" w14:textId="77777777" w:rsidR="008658D9" w:rsidRDefault="008658D9" w:rsidP="0094150F">
      <w:pPr>
        <w:spacing w:after="0" w:line="240" w:lineRule="auto"/>
      </w:pPr>
      <w:r>
        <w:separator/>
      </w:r>
    </w:p>
  </w:footnote>
  <w:footnote w:type="continuationSeparator" w:id="0">
    <w:p w14:paraId="623DD919" w14:textId="77777777" w:rsidR="008658D9" w:rsidRDefault="008658D9" w:rsidP="00941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98E3" w14:textId="08E8989D" w:rsidR="0094150F" w:rsidRDefault="0094150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6DA"/>
    <w:multiLevelType w:val="hybridMultilevel"/>
    <w:tmpl w:val="5AD409E6"/>
    <w:lvl w:ilvl="0" w:tplc="F4842376">
      <w:start w:val="2"/>
      <w:numFmt w:val="bullet"/>
      <w:lvlText w:val=""/>
      <w:lvlJc w:val="left"/>
      <w:pPr>
        <w:ind w:left="1428" w:hanging="360"/>
      </w:pPr>
      <w:rPr>
        <w:rFonts w:ascii="Symbol" w:eastAsiaTheme="minorHAnsi" w:hAnsi="Symbol" w:cstheme="minorBidi"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 w15:restartNumberingAfterBreak="0">
    <w:nsid w:val="29A026FA"/>
    <w:multiLevelType w:val="hybridMultilevel"/>
    <w:tmpl w:val="F842C3EC"/>
    <w:lvl w:ilvl="0" w:tplc="F4842376">
      <w:start w:val="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56B09CF"/>
    <w:multiLevelType w:val="hybridMultilevel"/>
    <w:tmpl w:val="9D10198E"/>
    <w:lvl w:ilvl="0" w:tplc="F4842376">
      <w:start w:val="2"/>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2172569"/>
    <w:multiLevelType w:val="hybridMultilevel"/>
    <w:tmpl w:val="48D80D3C"/>
    <w:lvl w:ilvl="0" w:tplc="F4842376">
      <w:start w:val="2"/>
      <w:numFmt w:val="bullet"/>
      <w:lvlText w:val=""/>
      <w:lvlJc w:val="left"/>
      <w:pPr>
        <w:ind w:left="765" w:hanging="360"/>
      </w:pPr>
      <w:rPr>
        <w:rFonts w:ascii="Symbol" w:eastAsiaTheme="minorHAnsi" w:hAnsi="Symbol" w:cstheme="minorBidi"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num w:numId="1" w16cid:durableId="300425811">
    <w:abstractNumId w:val="2"/>
  </w:num>
  <w:num w:numId="2" w16cid:durableId="1070349000">
    <w:abstractNumId w:val="3"/>
  </w:num>
  <w:num w:numId="3" w16cid:durableId="555895906">
    <w:abstractNumId w:val="0"/>
  </w:num>
  <w:num w:numId="4" w16cid:durableId="539364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80"/>
    <w:rsid w:val="00010AF7"/>
    <w:rsid w:val="00073701"/>
    <w:rsid w:val="000C1713"/>
    <w:rsid w:val="000D1E45"/>
    <w:rsid w:val="00115BD9"/>
    <w:rsid w:val="00120A04"/>
    <w:rsid w:val="00135569"/>
    <w:rsid w:val="001561B0"/>
    <w:rsid w:val="00190572"/>
    <w:rsid w:val="001B610F"/>
    <w:rsid w:val="001E03CC"/>
    <w:rsid w:val="001F11FA"/>
    <w:rsid w:val="00204D61"/>
    <w:rsid w:val="00251679"/>
    <w:rsid w:val="00294BD4"/>
    <w:rsid w:val="003475C1"/>
    <w:rsid w:val="00405480"/>
    <w:rsid w:val="00430AEF"/>
    <w:rsid w:val="004377AB"/>
    <w:rsid w:val="00443FEA"/>
    <w:rsid w:val="0044654D"/>
    <w:rsid w:val="00487F0E"/>
    <w:rsid w:val="0049262B"/>
    <w:rsid w:val="004D5A29"/>
    <w:rsid w:val="005108DE"/>
    <w:rsid w:val="00516BC3"/>
    <w:rsid w:val="00537C74"/>
    <w:rsid w:val="005D3A16"/>
    <w:rsid w:val="00600262"/>
    <w:rsid w:val="00600AAA"/>
    <w:rsid w:val="00601B5F"/>
    <w:rsid w:val="0063121B"/>
    <w:rsid w:val="00645391"/>
    <w:rsid w:val="00693AA0"/>
    <w:rsid w:val="006A6883"/>
    <w:rsid w:val="006B6264"/>
    <w:rsid w:val="00700664"/>
    <w:rsid w:val="00721CC1"/>
    <w:rsid w:val="00753602"/>
    <w:rsid w:val="007967EC"/>
    <w:rsid w:val="007B3AC2"/>
    <w:rsid w:val="007B5AC3"/>
    <w:rsid w:val="00862312"/>
    <w:rsid w:val="008658D9"/>
    <w:rsid w:val="008C2845"/>
    <w:rsid w:val="008D3294"/>
    <w:rsid w:val="008D33FE"/>
    <w:rsid w:val="008D3657"/>
    <w:rsid w:val="008F3670"/>
    <w:rsid w:val="008F519A"/>
    <w:rsid w:val="00940BDC"/>
    <w:rsid w:val="0094150F"/>
    <w:rsid w:val="0097679D"/>
    <w:rsid w:val="00994EB2"/>
    <w:rsid w:val="009B6F82"/>
    <w:rsid w:val="00A1403C"/>
    <w:rsid w:val="00A17EF1"/>
    <w:rsid w:val="00A24366"/>
    <w:rsid w:val="00A36C45"/>
    <w:rsid w:val="00A61E3A"/>
    <w:rsid w:val="00A66915"/>
    <w:rsid w:val="00A810A4"/>
    <w:rsid w:val="00A931D5"/>
    <w:rsid w:val="00AB5B3C"/>
    <w:rsid w:val="00AC0E69"/>
    <w:rsid w:val="00AF1011"/>
    <w:rsid w:val="00B15526"/>
    <w:rsid w:val="00B30D23"/>
    <w:rsid w:val="00B9226E"/>
    <w:rsid w:val="00B97CCF"/>
    <w:rsid w:val="00BB0743"/>
    <w:rsid w:val="00BE53B2"/>
    <w:rsid w:val="00BF0592"/>
    <w:rsid w:val="00BF6CCA"/>
    <w:rsid w:val="00C029CC"/>
    <w:rsid w:val="00C41900"/>
    <w:rsid w:val="00C91FFF"/>
    <w:rsid w:val="00C92389"/>
    <w:rsid w:val="00CB25CB"/>
    <w:rsid w:val="00CB6CC6"/>
    <w:rsid w:val="00D35337"/>
    <w:rsid w:val="00D61C7B"/>
    <w:rsid w:val="00D96158"/>
    <w:rsid w:val="00DE3342"/>
    <w:rsid w:val="00DF4B54"/>
    <w:rsid w:val="00E32CC3"/>
    <w:rsid w:val="00E44640"/>
    <w:rsid w:val="00E66DE5"/>
    <w:rsid w:val="00E72F9E"/>
    <w:rsid w:val="00E87624"/>
    <w:rsid w:val="00EA257D"/>
    <w:rsid w:val="00EA5548"/>
    <w:rsid w:val="00EB3ED9"/>
    <w:rsid w:val="00F57626"/>
    <w:rsid w:val="00FA2DD9"/>
    <w:rsid w:val="00FA2F31"/>
    <w:rsid w:val="00FB5474"/>
    <w:rsid w:val="00FF40C8"/>
    <w:rsid w:val="068FE3D8"/>
    <w:rsid w:val="0DB978F3"/>
    <w:rsid w:val="11297174"/>
    <w:rsid w:val="2E9ACB95"/>
    <w:rsid w:val="44E2762C"/>
    <w:rsid w:val="519FBEC0"/>
    <w:rsid w:val="5FF70BBF"/>
    <w:rsid w:val="63FEB17D"/>
    <w:rsid w:val="6E9389B2"/>
    <w:rsid w:val="70DE584B"/>
    <w:rsid w:val="72A4F80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12B96"/>
  <w15:chartTrackingRefBased/>
  <w15:docId w15:val="{6DE12837-34F8-450E-8B64-64547BA9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05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05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40548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40548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0548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0548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0548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0548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0548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0548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40548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40548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40548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0548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0548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0548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0548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05480"/>
    <w:rPr>
      <w:rFonts w:eastAsiaTheme="majorEastAsia" w:cstheme="majorBidi"/>
      <w:color w:val="272727" w:themeColor="text1" w:themeTint="D8"/>
    </w:rPr>
  </w:style>
  <w:style w:type="paragraph" w:styleId="Tittel">
    <w:name w:val="Title"/>
    <w:basedOn w:val="Normal"/>
    <w:next w:val="Normal"/>
    <w:link w:val="TittelTegn"/>
    <w:uiPriority w:val="10"/>
    <w:qFormat/>
    <w:rsid w:val="00405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0548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0548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0548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0548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05480"/>
    <w:rPr>
      <w:i/>
      <w:iCs/>
      <w:color w:val="404040" w:themeColor="text1" w:themeTint="BF"/>
    </w:rPr>
  </w:style>
  <w:style w:type="paragraph" w:styleId="Listeavsnitt">
    <w:name w:val="List Paragraph"/>
    <w:basedOn w:val="Normal"/>
    <w:uiPriority w:val="34"/>
    <w:qFormat/>
    <w:rsid w:val="00405480"/>
    <w:pPr>
      <w:ind w:left="720"/>
      <w:contextualSpacing/>
    </w:pPr>
  </w:style>
  <w:style w:type="character" w:styleId="Sterkutheving">
    <w:name w:val="Intense Emphasis"/>
    <w:basedOn w:val="Standardskriftforavsnitt"/>
    <w:uiPriority w:val="21"/>
    <w:qFormat/>
    <w:rsid w:val="00405480"/>
    <w:rPr>
      <w:i/>
      <w:iCs/>
      <w:color w:val="0F4761" w:themeColor="accent1" w:themeShade="BF"/>
    </w:rPr>
  </w:style>
  <w:style w:type="paragraph" w:styleId="Sterktsitat">
    <w:name w:val="Intense Quote"/>
    <w:basedOn w:val="Normal"/>
    <w:next w:val="Normal"/>
    <w:link w:val="SterktsitatTegn"/>
    <w:uiPriority w:val="30"/>
    <w:qFormat/>
    <w:rsid w:val="00405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05480"/>
    <w:rPr>
      <w:i/>
      <w:iCs/>
      <w:color w:val="0F4761" w:themeColor="accent1" w:themeShade="BF"/>
    </w:rPr>
  </w:style>
  <w:style w:type="character" w:styleId="Sterkreferanse">
    <w:name w:val="Intense Reference"/>
    <w:basedOn w:val="Standardskriftforavsnitt"/>
    <w:uiPriority w:val="32"/>
    <w:qFormat/>
    <w:rsid w:val="00405480"/>
    <w:rPr>
      <w:b/>
      <w:bCs/>
      <w:smallCaps/>
      <w:color w:val="0F4761" w:themeColor="accent1" w:themeShade="BF"/>
      <w:spacing w:val="5"/>
    </w:rPr>
  </w:style>
  <w:style w:type="paragraph" w:styleId="Topptekst">
    <w:name w:val="header"/>
    <w:basedOn w:val="Normal"/>
    <w:link w:val="TopptekstTegn"/>
    <w:uiPriority w:val="99"/>
    <w:unhideWhenUsed/>
    <w:rsid w:val="0094150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4150F"/>
  </w:style>
  <w:style w:type="paragraph" w:styleId="Bunntekst">
    <w:name w:val="footer"/>
    <w:basedOn w:val="Normal"/>
    <w:link w:val="BunntekstTegn"/>
    <w:uiPriority w:val="99"/>
    <w:unhideWhenUsed/>
    <w:rsid w:val="0094150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4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7382</Characters>
  <Application>Microsoft Office Word</Application>
  <DocSecurity>0</DocSecurity>
  <Lines>164</Lines>
  <Paragraphs>88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Bech</dc:creator>
  <cp:keywords/>
  <dc:description/>
  <cp:lastModifiedBy>Åsa Bech</cp:lastModifiedBy>
  <cp:revision>2</cp:revision>
  <dcterms:created xsi:type="dcterms:W3CDTF">2026-01-20T09:13:00Z</dcterms:created>
  <dcterms:modified xsi:type="dcterms:W3CDTF">2026-01-20T09:13:00Z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8638aa-a01e-4c6e-bd25-5698b04937ea_Enabled">
    <vt:lpwstr>true</vt:lpwstr>
  </property>
  <property fmtid="{D5CDD505-2E9C-101B-9397-08002B2CF9AE}" pid="3" name="MSIP_Label_678638aa-a01e-4c6e-bd25-5698b04937ea_SetDate">
    <vt:lpwstr>2025-11-25T14:58:45Z</vt:lpwstr>
  </property>
  <property fmtid="{D5CDD505-2E9C-101B-9397-08002B2CF9AE}" pid="4" name="MSIP_Label_678638aa-a01e-4c6e-bd25-5698b04937ea_Method">
    <vt:lpwstr>Privileged</vt:lpwstr>
  </property>
  <property fmtid="{D5CDD505-2E9C-101B-9397-08002B2CF9AE}" pid="5" name="MSIP_Label_678638aa-a01e-4c6e-bd25-5698b04937ea_Name">
    <vt:lpwstr>Åpen</vt:lpwstr>
  </property>
  <property fmtid="{D5CDD505-2E9C-101B-9397-08002B2CF9AE}" pid="6" name="MSIP_Label_678638aa-a01e-4c6e-bd25-5698b04937ea_SiteId">
    <vt:lpwstr>393307ec-c3cc-4b86-9450-3913c933d3bc</vt:lpwstr>
  </property>
  <property fmtid="{D5CDD505-2E9C-101B-9397-08002B2CF9AE}" pid="7" name="MSIP_Label_678638aa-a01e-4c6e-bd25-5698b04937ea_ActionId">
    <vt:lpwstr>f45ed672-27c6-486e-b157-1004cd19eb6e</vt:lpwstr>
  </property>
  <property fmtid="{D5CDD505-2E9C-101B-9397-08002B2CF9AE}" pid="8" name="MSIP_Label_678638aa-a01e-4c6e-bd25-5698b04937ea_ContentBits">
    <vt:lpwstr>0</vt:lpwstr>
  </property>
  <property fmtid="{D5CDD505-2E9C-101B-9397-08002B2CF9AE}" pid="9" name="MSIP_Label_678638aa-a01e-4c6e-bd25-5698b04937ea_Tag">
    <vt:lpwstr>10, 0, 1, 1</vt:lpwstr>
  </property>
</Properties>
</file>