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E6B39" w14:textId="77777777" w:rsidR="009E04B0" w:rsidRPr="000A7192" w:rsidRDefault="001F4C1F" w:rsidP="00695553">
      <w:pPr>
        <w:pStyle w:val="Overskrift3"/>
        <w:spacing w:line="276" w:lineRule="auto"/>
        <w:rPr>
          <w:sz w:val="32"/>
          <w:szCs w:val="32"/>
        </w:rPr>
      </w:pPr>
      <w:r>
        <w:rPr>
          <w:sz w:val="32"/>
          <w:szCs w:val="32"/>
          <w:lang w:val="en-GB" w:bidi="en-GB"/>
        </w:rPr>
        <w:t>C</w:t>
      </w:r>
      <w:r w:rsidR="009E04B0" w:rsidRPr="000A7192">
        <w:rPr>
          <w:sz w:val="32"/>
          <w:szCs w:val="32"/>
          <w:lang w:val="en-GB" w:bidi="en-GB"/>
        </w:rPr>
        <w:t>ONFIRMATION OF ASSIGNMENT</w:t>
      </w:r>
      <w:r w:rsidR="009E04B0" w:rsidRPr="00695553">
        <w:rPr>
          <w:rStyle w:val="Fotnotereferanse"/>
          <w:b w:val="0"/>
          <w:sz w:val="32"/>
          <w:szCs w:val="32"/>
          <w:lang w:val="en-GB" w:bidi="en-GB"/>
        </w:rPr>
        <w:footnoteReference w:id="1"/>
      </w:r>
    </w:p>
    <w:p w14:paraId="3344244E" w14:textId="77777777" w:rsidR="009E04B0" w:rsidRPr="000A7192" w:rsidRDefault="009E04B0" w:rsidP="00695553">
      <w:pPr>
        <w:pStyle w:val="Tittel"/>
        <w:rPr>
          <w:rFonts w:ascii="Arial" w:hAnsi="Arial" w:cs="Arial"/>
          <w:sz w:val="24"/>
          <w:szCs w:val="24"/>
        </w:rPr>
      </w:pPr>
      <w:r w:rsidRPr="000A7192">
        <w:rPr>
          <w:rFonts w:ascii="Arial" w:eastAsia="Arial" w:hAnsi="Arial" w:cs="Arial"/>
          <w:sz w:val="24"/>
          <w:szCs w:val="24"/>
          <w:lang w:val="en-GB" w:bidi="en-GB"/>
        </w:rPr>
        <w:t>PART I: FORMALITIES</w:t>
      </w:r>
    </w:p>
    <w:p w14:paraId="58319076" w14:textId="77777777" w:rsidR="009E04B0" w:rsidRPr="007561B4" w:rsidRDefault="009E04B0" w:rsidP="00695553">
      <w:pPr>
        <w:rPr>
          <w:rFonts w:ascii="Arial" w:hAnsi="Arial" w:cs="Arial"/>
          <w:sz w:val="20"/>
          <w:szCs w:val="20"/>
        </w:rPr>
      </w:pPr>
    </w:p>
    <w:p w14:paraId="007FEDB1" w14:textId="77777777" w:rsidR="009E04B0" w:rsidRDefault="009E04B0" w:rsidP="00695553">
      <w:pPr>
        <w:numPr>
          <w:ilvl w:val="0"/>
          <w:numId w:val="1"/>
        </w:numPr>
        <w:rPr>
          <w:rFonts w:ascii="Arial" w:hAnsi="Arial" w:cs="Arial"/>
          <w:sz w:val="20"/>
          <w:szCs w:val="20"/>
        </w:rPr>
      </w:pPr>
      <w:r w:rsidRPr="007561B4">
        <w:rPr>
          <w:rFonts w:ascii="Arial" w:eastAsia="Arial" w:hAnsi="Arial" w:cs="Arial"/>
          <w:sz w:val="20"/>
          <w:szCs w:val="20"/>
          <w:lang w:val="en-GB" w:bidi="en-GB"/>
        </w:rPr>
        <w:t xml:space="preserve">An agreement has been entered into this day regarding legal services between the Law Firm </w:t>
      </w:r>
      <w:r w:rsidRPr="000A7192">
        <w:rPr>
          <w:rFonts w:ascii="Arial" w:eastAsia="Arial" w:hAnsi="Arial" w:cs="Arial"/>
          <w:i/>
          <w:color w:val="808080" w:themeColor="background1" w:themeShade="80"/>
          <w:sz w:val="20"/>
          <w:szCs w:val="20"/>
          <w:lang w:val="en-GB" w:bidi="en-GB"/>
        </w:rPr>
        <w:t>[NAME]</w:t>
      </w:r>
      <w:r w:rsidRPr="007561B4">
        <w:rPr>
          <w:rFonts w:ascii="Arial" w:eastAsia="Arial" w:hAnsi="Arial" w:cs="Arial"/>
          <w:sz w:val="20"/>
          <w:szCs w:val="20"/>
          <w:lang w:val="en-GB" w:bidi="en-GB"/>
        </w:rPr>
        <w:t xml:space="preserve"> and</w:t>
      </w:r>
    </w:p>
    <w:p w14:paraId="46CE4537" w14:textId="77777777" w:rsidR="00695553" w:rsidRPr="00695553" w:rsidRDefault="00695553" w:rsidP="00695553">
      <w:pPr>
        <w:ind w:left="720"/>
        <w:rPr>
          <w:rFonts w:ascii="Arial" w:hAnsi="Arial" w:cs="Arial"/>
          <w:sz w:val="20"/>
          <w:szCs w:val="20"/>
        </w:rPr>
      </w:pPr>
    </w:p>
    <w:p w14:paraId="7242255F" w14:textId="77777777" w:rsidR="009E04B0" w:rsidRPr="000A7192" w:rsidRDefault="009E04B0" w:rsidP="00695553">
      <w:pPr>
        <w:ind w:left="360" w:firstLine="348"/>
        <w:rPr>
          <w:rFonts w:ascii="Arial" w:hAnsi="Arial" w:cs="Arial"/>
          <w:i/>
          <w:color w:val="808080" w:themeColor="background1" w:themeShade="80"/>
          <w:sz w:val="20"/>
          <w:szCs w:val="20"/>
        </w:rPr>
      </w:pPr>
      <w:r w:rsidRPr="000A7192">
        <w:rPr>
          <w:rFonts w:ascii="Arial" w:eastAsia="Arial" w:hAnsi="Arial" w:cs="Arial"/>
          <w:i/>
          <w:color w:val="808080" w:themeColor="background1" w:themeShade="80"/>
          <w:sz w:val="20"/>
          <w:szCs w:val="20"/>
          <w:lang w:val="en-GB" w:bidi="en-GB"/>
        </w:rPr>
        <w:t>[CLIENT’S NAME AND CONTACT INFORMATION]</w:t>
      </w:r>
    </w:p>
    <w:p w14:paraId="6EA0A35F" w14:textId="77777777" w:rsidR="009E04B0" w:rsidRDefault="009E04B0" w:rsidP="00695553">
      <w:pPr>
        <w:rPr>
          <w:rFonts w:ascii="Arial" w:hAnsi="Arial" w:cs="Arial"/>
          <w:sz w:val="20"/>
          <w:szCs w:val="20"/>
        </w:rPr>
      </w:pPr>
    </w:p>
    <w:p w14:paraId="23A86914" w14:textId="77777777" w:rsidR="00D60318" w:rsidRPr="007561B4" w:rsidRDefault="00D60318" w:rsidP="00695553">
      <w:pPr>
        <w:rPr>
          <w:rFonts w:ascii="Arial" w:hAnsi="Arial" w:cs="Arial"/>
          <w:sz w:val="20"/>
          <w:szCs w:val="20"/>
        </w:rPr>
      </w:pPr>
    </w:p>
    <w:p w14:paraId="0ED3D798" w14:textId="77777777" w:rsidR="009E04B0" w:rsidRPr="007561B4" w:rsidRDefault="009E04B0" w:rsidP="00695553">
      <w:pPr>
        <w:numPr>
          <w:ilvl w:val="0"/>
          <w:numId w:val="1"/>
        </w:numPr>
        <w:rPr>
          <w:rFonts w:ascii="Arial" w:hAnsi="Arial" w:cs="Arial"/>
          <w:sz w:val="20"/>
          <w:szCs w:val="20"/>
        </w:rPr>
      </w:pPr>
      <w:r w:rsidRPr="007561B4">
        <w:rPr>
          <w:rFonts w:ascii="Arial" w:eastAsia="Arial" w:hAnsi="Arial" w:cs="Arial"/>
          <w:sz w:val="20"/>
          <w:szCs w:val="20"/>
          <w:lang w:val="en-GB" w:bidi="en-GB"/>
        </w:rPr>
        <w:t>Responsible attorney</w:t>
      </w:r>
      <w:r w:rsidR="006F649B" w:rsidRPr="007561B4">
        <w:rPr>
          <w:rStyle w:val="Fotnotereferanse"/>
          <w:rFonts w:ascii="Arial" w:eastAsia="Arial" w:hAnsi="Arial" w:cs="Arial"/>
          <w:sz w:val="20"/>
          <w:szCs w:val="20"/>
          <w:lang w:val="en-GB" w:bidi="en-GB"/>
        </w:rPr>
        <w:footnoteReference w:id="2"/>
      </w:r>
      <w:r w:rsidRPr="007561B4">
        <w:rPr>
          <w:rFonts w:ascii="Arial" w:eastAsia="Arial" w:hAnsi="Arial" w:cs="Arial"/>
          <w:sz w:val="20"/>
          <w:szCs w:val="20"/>
          <w:lang w:val="en-GB" w:bidi="en-GB"/>
        </w:rPr>
        <w:t xml:space="preserve"> </w:t>
      </w:r>
    </w:p>
    <w:p w14:paraId="7002A5F4" w14:textId="77777777" w:rsidR="009E04B0" w:rsidRPr="007561B4" w:rsidRDefault="009E04B0" w:rsidP="00695553">
      <w:pPr>
        <w:rPr>
          <w:rFonts w:ascii="Arial" w:hAnsi="Arial" w:cs="Arial"/>
          <w:sz w:val="20"/>
          <w:szCs w:val="20"/>
        </w:rPr>
      </w:pPr>
    </w:p>
    <w:p w14:paraId="30A56346" w14:textId="77777777" w:rsidR="009E04B0" w:rsidRPr="000A7192" w:rsidRDefault="009E04B0" w:rsidP="00695553">
      <w:pPr>
        <w:ind w:left="360" w:firstLine="348"/>
        <w:rPr>
          <w:rFonts w:ascii="Arial" w:hAnsi="Arial" w:cs="Arial"/>
          <w:i/>
          <w:color w:val="808080" w:themeColor="background1" w:themeShade="80"/>
          <w:sz w:val="20"/>
          <w:szCs w:val="20"/>
        </w:rPr>
      </w:pPr>
      <w:r w:rsidRPr="000A7192">
        <w:rPr>
          <w:rFonts w:ascii="Arial" w:eastAsia="Arial" w:hAnsi="Arial" w:cs="Arial"/>
          <w:i/>
          <w:color w:val="808080" w:themeColor="background1" w:themeShade="80"/>
          <w:sz w:val="20"/>
          <w:szCs w:val="20"/>
          <w:lang w:val="en-GB" w:bidi="en-GB"/>
        </w:rPr>
        <w:t>[NAME OF THE ATTORNEY]</w:t>
      </w:r>
    </w:p>
    <w:p w14:paraId="53DE41FB" w14:textId="77777777" w:rsidR="009E04B0" w:rsidRDefault="009E04B0" w:rsidP="00695553">
      <w:pPr>
        <w:rPr>
          <w:rFonts w:ascii="Arial" w:hAnsi="Arial" w:cs="Arial"/>
          <w:sz w:val="20"/>
          <w:szCs w:val="20"/>
        </w:rPr>
      </w:pPr>
    </w:p>
    <w:p w14:paraId="109613F3" w14:textId="77777777" w:rsidR="00D60318" w:rsidRPr="007561B4" w:rsidRDefault="00D60318" w:rsidP="00695553">
      <w:pPr>
        <w:rPr>
          <w:rFonts w:ascii="Arial" w:hAnsi="Arial" w:cs="Arial"/>
          <w:sz w:val="20"/>
          <w:szCs w:val="20"/>
        </w:rPr>
      </w:pPr>
    </w:p>
    <w:p w14:paraId="68881BFB" w14:textId="77777777" w:rsidR="009E04B0" w:rsidRPr="007561B4" w:rsidRDefault="009E04B0" w:rsidP="00695553">
      <w:pPr>
        <w:numPr>
          <w:ilvl w:val="0"/>
          <w:numId w:val="1"/>
        </w:numPr>
        <w:rPr>
          <w:rFonts w:ascii="Arial" w:hAnsi="Arial" w:cs="Arial"/>
          <w:sz w:val="20"/>
          <w:szCs w:val="20"/>
        </w:rPr>
      </w:pPr>
      <w:r w:rsidRPr="007561B4">
        <w:rPr>
          <w:rFonts w:ascii="Arial" w:eastAsia="Arial" w:hAnsi="Arial" w:cs="Arial"/>
          <w:sz w:val="20"/>
          <w:szCs w:val="20"/>
          <w:lang w:val="en-GB" w:bidi="en-GB"/>
        </w:rPr>
        <w:t>The assignment concerns</w:t>
      </w:r>
      <w:r w:rsidRPr="007561B4">
        <w:rPr>
          <w:rStyle w:val="Fotnotereferanse"/>
          <w:rFonts w:ascii="Arial" w:eastAsia="Arial" w:hAnsi="Arial" w:cs="Arial"/>
          <w:sz w:val="20"/>
          <w:szCs w:val="20"/>
          <w:lang w:val="en-GB" w:bidi="en-GB"/>
        </w:rPr>
        <w:footnoteReference w:id="3"/>
      </w:r>
    </w:p>
    <w:p w14:paraId="48A649B2" w14:textId="77777777" w:rsidR="009E04B0" w:rsidRPr="007561B4" w:rsidRDefault="009E04B0" w:rsidP="00695553">
      <w:pPr>
        <w:rPr>
          <w:rFonts w:ascii="Arial" w:hAnsi="Arial" w:cs="Arial"/>
          <w:sz w:val="20"/>
          <w:szCs w:val="20"/>
        </w:rPr>
      </w:pPr>
    </w:p>
    <w:p w14:paraId="2E65FF84" w14:textId="77777777" w:rsidR="009E04B0" w:rsidRPr="000A7192" w:rsidRDefault="009E04B0" w:rsidP="00695553">
      <w:pPr>
        <w:ind w:left="360" w:firstLine="348"/>
        <w:rPr>
          <w:rFonts w:ascii="Arial" w:hAnsi="Arial" w:cs="Arial"/>
          <w:i/>
          <w:color w:val="808080" w:themeColor="background1" w:themeShade="80"/>
          <w:sz w:val="20"/>
          <w:szCs w:val="20"/>
        </w:rPr>
      </w:pPr>
      <w:r w:rsidRPr="000A7192">
        <w:rPr>
          <w:rFonts w:ascii="Arial" w:eastAsia="Arial" w:hAnsi="Arial" w:cs="Arial"/>
          <w:i/>
          <w:color w:val="808080" w:themeColor="background1" w:themeShade="80"/>
          <w:sz w:val="20"/>
          <w:szCs w:val="20"/>
          <w:lang w:val="en-GB" w:bidi="en-GB"/>
        </w:rPr>
        <w:t xml:space="preserve">[A DESCRIPTION OF THE ASSIGNMENT] </w:t>
      </w:r>
    </w:p>
    <w:p w14:paraId="1A083A3B" w14:textId="77777777" w:rsidR="009E04B0" w:rsidRDefault="009E04B0" w:rsidP="00695553">
      <w:pPr>
        <w:rPr>
          <w:rFonts w:ascii="Arial" w:hAnsi="Arial" w:cs="Arial"/>
          <w:sz w:val="20"/>
          <w:szCs w:val="20"/>
        </w:rPr>
      </w:pPr>
    </w:p>
    <w:p w14:paraId="48AEA3A7" w14:textId="77777777" w:rsidR="00D60318" w:rsidRPr="007561B4" w:rsidRDefault="00D60318" w:rsidP="00695553">
      <w:pPr>
        <w:rPr>
          <w:rFonts w:ascii="Arial" w:hAnsi="Arial" w:cs="Arial"/>
          <w:sz w:val="20"/>
          <w:szCs w:val="20"/>
        </w:rPr>
      </w:pPr>
    </w:p>
    <w:p w14:paraId="6EC91CAD" w14:textId="77777777" w:rsidR="009E04B0" w:rsidRPr="007561B4" w:rsidRDefault="009E04B0" w:rsidP="00695553">
      <w:pPr>
        <w:numPr>
          <w:ilvl w:val="0"/>
          <w:numId w:val="1"/>
        </w:numPr>
        <w:rPr>
          <w:rFonts w:ascii="Arial" w:hAnsi="Arial" w:cs="Arial"/>
          <w:sz w:val="20"/>
          <w:szCs w:val="20"/>
        </w:rPr>
      </w:pPr>
      <w:r w:rsidRPr="007561B4">
        <w:rPr>
          <w:rFonts w:ascii="Arial" w:eastAsia="Arial" w:hAnsi="Arial" w:cs="Arial"/>
          <w:sz w:val="20"/>
          <w:szCs w:val="20"/>
          <w:lang w:val="en-GB" w:bidi="en-GB"/>
        </w:rPr>
        <w:t xml:space="preserve">The duration of the assignment is not expected to exceed </w:t>
      </w:r>
      <w:r w:rsidRPr="000A7192">
        <w:rPr>
          <w:rFonts w:ascii="Arial" w:eastAsia="Arial" w:hAnsi="Arial" w:cs="Arial"/>
          <w:i/>
          <w:color w:val="808080" w:themeColor="background1" w:themeShade="80"/>
          <w:sz w:val="20"/>
          <w:szCs w:val="20"/>
          <w:lang w:val="en-GB" w:bidi="en-GB"/>
        </w:rPr>
        <w:t>[X]</w:t>
      </w:r>
      <w:r w:rsidRPr="007561B4">
        <w:rPr>
          <w:rFonts w:ascii="Arial" w:eastAsia="Arial" w:hAnsi="Arial" w:cs="Arial"/>
          <w:sz w:val="20"/>
          <w:szCs w:val="20"/>
          <w:lang w:val="en-GB" w:bidi="en-GB"/>
        </w:rPr>
        <w:t xml:space="preserve"> number of months. </w:t>
      </w:r>
    </w:p>
    <w:p w14:paraId="345DFEFA" w14:textId="77777777" w:rsidR="009E04B0" w:rsidRDefault="009E04B0" w:rsidP="00695553">
      <w:pPr>
        <w:rPr>
          <w:rFonts w:ascii="Arial" w:hAnsi="Arial" w:cs="Arial"/>
          <w:sz w:val="20"/>
          <w:szCs w:val="20"/>
        </w:rPr>
      </w:pPr>
    </w:p>
    <w:p w14:paraId="150B867A" w14:textId="77777777" w:rsidR="00D60318" w:rsidRPr="007561B4" w:rsidRDefault="00D60318" w:rsidP="00695553">
      <w:pPr>
        <w:rPr>
          <w:rFonts w:ascii="Arial" w:hAnsi="Arial" w:cs="Arial"/>
          <w:sz w:val="20"/>
          <w:szCs w:val="20"/>
        </w:rPr>
      </w:pPr>
    </w:p>
    <w:p w14:paraId="7632BEFF" w14:textId="77777777" w:rsidR="009E04B0" w:rsidRPr="007561B4" w:rsidRDefault="009E04B0" w:rsidP="00695553">
      <w:pPr>
        <w:numPr>
          <w:ilvl w:val="0"/>
          <w:numId w:val="1"/>
        </w:numPr>
        <w:rPr>
          <w:rFonts w:ascii="Arial" w:hAnsi="Arial" w:cs="Arial"/>
          <w:sz w:val="20"/>
          <w:szCs w:val="20"/>
        </w:rPr>
      </w:pPr>
      <w:r w:rsidRPr="007561B4">
        <w:rPr>
          <w:rFonts w:ascii="Arial" w:eastAsia="Arial" w:hAnsi="Arial" w:cs="Arial"/>
          <w:sz w:val="20"/>
          <w:szCs w:val="20"/>
          <w:lang w:val="en-GB" w:bidi="en-GB"/>
        </w:rPr>
        <w:t>Fees and invoicing</w:t>
      </w:r>
      <w:r w:rsidR="00C60510" w:rsidRPr="007561B4">
        <w:rPr>
          <w:rStyle w:val="Fotnotereferanse"/>
          <w:rFonts w:ascii="Arial" w:eastAsia="Arial" w:hAnsi="Arial" w:cs="Arial"/>
          <w:sz w:val="20"/>
          <w:szCs w:val="20"/>
          <w:lang w:val="en-GB" w:bidi="en-GB"/>
        </w:rPr>
        <w:footnoteReference w:id="4"/>
      </w:r>
    </w:p>
    <w:p w14:paraId="13D6442F" w14:textId="77777777" w:rsidR="009E04B0" w:rsidRPr="007561B4" w:rsidRDefault="009E04B0" w:rsidP="00695553">
      <w:pPr>
        <w:rPr>
          <w:rFonts w:ascii="Arial" w:hAnsi="Arial" w:cs="Arial"/>
          <w:sz w:val="20"/>
          <w:szCs w:val="20"/>
        </w:rPr>
      </w:pPr>
    </w:p>
    <w:p w14:paraId="1E02892E" w14:textId="77777777" w:rsidR="009E04B0" w:rsidRPr="007561B4" w:rsidRDefault="009E04B0" w:rsidP="00695553">
      <w:pPr>
        <w:ind w:left="360" w:firstLine="348"/>
        <w:rPr>
          <w:rFonts w:ascii="Arial" w:hAnsi="Arial" w:cs="Arial"/>
          <w:sz w:val="20"/>
          <w:szCs w:val="20"/>
        </w:rPr>
      </w:pPr>
      <w:r w:rsidRPr="007561B4">
        <w:rPr>
          <w:rFonts w:ascii="Arial" w:eastAsia="Arial" w:hAnsi="Arial" w:cs="Arial"/>
          <w:sz w:val="20"/>
          <w:szCs w:val="20"/>
          <w:lang w:val="en-GB" w:bidi="en-GB"/>
        </w:rPr>
        <w:t xml:space="preserve">The indicative hourly rate for the responsible attorney for this assignment is NOK </w:t>
      </w:r>
      <w:r w:rsidRPr="000A7192">
        <w:rPr>
          <w:rFonts w:ascii="Arial" w:eastAsia="Arial" w:hAnsi="Arial" w:cs="Arial"/>
          <w:i/>
          <w:color w:val="808080" w:themeColor="background1" w:themeShade="80"/>
          <w:sz w:val="20"/>
          <w:szCs w:val="20"/>
          <w:lang w:val="en-GB" w:bidi="en-GB"/>
        </w:rPr>
        <w:t>[X]</w:t>
      </w:r>
      <w:r w:rsidRPr="007561B4">
        <w:rPr>
          <w:rFonts w:ascii="Arial" w:eastAsia="Arial" w:hAnsi="Arial" w:cs="Arial"/>
          <w:sz w:val="20"/>
          <w:szCs w:val="20"/>
          <w:lang w:val="en-GB" w:bidi="en-GB"/>
        </w:rPr>
        <w:t>.</w:t>
      </w:r>
    </w:p>
    <w:p w14:paraId="625575D6" w14:textId="77777777" w:rsidR="009E04B0" w:rsidRPr="007561B4" w:rsidRDefault="009E04B0" w:rsidP="00695553">
      <w:pPr>
        <w:rPr>
          <w:rFonts w:ascii="Arial" w:hAnsi="Arial" w:cs="Arial"/>
          <w:sz w:val="20"/>
          <w:szCs w:val="20"/>
        </w:rPr>
      </w:pPr>
    </w:p>
    <w:p w14:paraId="03968191" w14:textId="77777777" w:rsidR="009E04B0" w:rsidRPr="007561B4" w:rsidRDefault="009E04B0" w:rsidP="00695553">
      <w:pPr>
        <w:ind w:left="360" w:firstLine="348"/>
        <w:rPr>
          <w:rFonts w:ascii="Arial" w:hAnsi="Arial" w:cs="Arial"/>
          <w:sz w:val="20"/>
          <w:szCs w:val="20"/>
        </w:rPr>
      </w:pPr>
      <w:r w:rsidRPr="007561B4">
        <w:rPr>
          <w:rFonts w:ascii="Arial" w:eastAsia="Arial" w:hAnsi="Arial" w:cs="Arial"/>
          <w:sz w:val="20"/>
          <w:szCs w:val="20"/>
          <w:lang w:val="en-GB" w:bidi="en-GB"/>
        </w:rPr>
        <w:t xml:space="preserve">The indicative hourly rates for the Law Firm’s personnel are: </w:t>
      </w:r>
    </w:p>
    <w:p w14:paraId="3FF53D97" w14:textId="77777777" w:rsidR="009E04B0" w:rsidRPr="007561B4" w:rsidRDefault="009E04B0" w:rsidP="00695553">
      <w:pPr>
        <w:numPr>
          <w:ilvl w:val="1"/>
          <w:numId w:val="1"/>
        </w:numPr>
        <w:rPr>
          <w:rFonts w:ascii="Arial" w:hAnsi="Arial" w:cs="Arial"/>
          <w:sz w:val="20"/>
          <w:szCs w:val="20"/>
        </w:rPr>
      </w:pPr>
      <w:r w:rsidRPr="007561B4">
        <w:rPr>
          <w:rFonts w:ascii="Arial" w:eastAsia="Arial" w:hAnsi="Arial" w:cs="Arial"/>
          <w:sz w:val="20"/>
          <w:szCs w:val="20"/>
          <w:lang w:val="en-GB" w:bidi="en-GB"/>
        </w:rPr>
        <w:t xml:space="preserve">Assistant attorneys </w:t>
      </w:r>
      <w:r w:rsidRPr="007561B4">
        <w:rPr>
          <w:rFonts w:ascii="Arial" w:eastAsia="Arial" w:hAnsi="Arial" w:cs="Arial"/>
          <w:sz w:val="20"/>
          <w:szCs w:val="20"/>
          <w:lang w:val="en-GB" w:bidi="en-GB"/>
        </w:rPr>
        <w:tab/>
        <w:t>NOK</w:t>
      </w:r>
      <w:r w:rsidR="00023C64" w:rsidRPr="00023C64">
        <w:rPr>
          <w:rFonts w:ascii="Arial" w:eastAsia="Arial" w:hAnsi="Arial" w:cs="Arial"/>
          <w:i/>
          <w:color w:val="808080" w:themeColor="background1" w:themeShade="80"/>
          <w:sz w:val="20"/>
          <w:szCs w:val="20"/>
          <w:lang w:val="en-GB" w:bidi="en-GB"/>
        </w:rPr>
        <w:t xml:space="preserve"> [X – X] </w:t>
      </w:r>
    </w:p>
    <w:p w14:paraId="3E48A040" w14:textId="77777777" w:rsidR="009E04B0" w:rsidRPr="00023C64" w:rsidRDefault="009E04B0" w:rsidP="00695553">
      <w:pPr>
        <w:numPr>
          <w:ilvl w:val="1"/>
          <w:numId w:val="1"/>
        </w:numPr>
        <w:rPr>
          <w:rFonts w:ascii="Arial" w:hAnsi="Arial" w:cs="Arial"/>
          <w:sz w:val="20"/>
          <w:szCs w:val="20"/>
        </w:rPr>
      </w:pPr>
      <w:r w:rsidRPr="007561B4">
        <w:rPr>
          <w:rFonts w:ascii="Arial" w:eastAsia="Arial" w:hAnsi="Arial" w:cs="Arial"/>
          <w:sz w:val="20"/>
          <w:szCs w:val="20"/>
          <w:lang w:val="en-GB" w:bidi="en-GB"/>
        </w:rPr>
        <w:t xml:space="preserve">Attorneys </w:t>
      </w:r>
      <w:r w:rsidRPr="007561B4">
        <w:rPr>
          <w:rFonts w:ascii="Arial" w:eastAsia="Arial" w:hAnsi="Arial" w:cs="Arial"/>
          <w:sz w:val="20"/>
          <w:szCs w:val="20"/>
          <w:lang w:val="en-GB" w:bidi="en-GB"/>
        </w:rPr>
        <w:tab/>
        <w:t>NOK</w:t>
      </w:r>
      <w:r w:rsidR="00023C64" w:rsidRPr="00023C64">
        <w:rPr>
          <w:rFonts w:ascii="Arial" w:eastAsia="Arial" w:hAnsi="Arial" w:cs="Arial"/>
          <w:i/>
          <w:color w:val="808080"/>
          <w:sz w:val="20"/>
          <w:szCs w:val="20"/>
          <w:lang w:val="en-GB" w:bidi="en-GB"/>
        </w:rPr>
        <w:t xml:space="preserve"> [X – X]</w:t>
      </w:r>
    </w:p>
    <w:p w14:paraId="03387B4A" w14:textId="77777777" w:rsidR="009E04B0" w:rsidRPr="00023C64" w:rsidRDefault="009E04B0" w:rsidP="00695553">
      <w:pPr>
        <w:numPr>
          <w:ilvl w:val="1"/>
          <w:numId w:val="1"/>
        </w:numPr>
        <w:rPr>
          <w:rFonts w:ascii="Arial" w:hAnsi="Arial" w:cs="Arial"/>
          <w:sz w:val="20"/>
          <w:szCs w:val="20"/>
        </w:rPr>
      </w:pPr>
      <w:r w:rsidRPr="007561B4">
        <w:rPr>
          <w:rFonts w:ascii="Arial" w:eastAsia="Arial" w:hAnsi="Arial" w:cs="Arial"/>
          <w:sz w:val="20"/>
          <w:szCs w:val="20"/>
          <w:lang w:val="en-GB" w:bidi="en-GB"/>
        </w:rPr>
        <w:t xml:space="preserve">Senior attorneys </w:t>
      </w:r>
      <w:r w:rsidRPr="007561B4">
        <w:rPr>
          <w:rFonts w:ascii="Arial" w:eastAsia="Arial" w:hAnsi="Arial" w:cs="Arial"/>
          <w:sz w:val="20"/>
          <w:szCs w:val="20"/>
          <w:lang w:val="en-GB" w:bidi="en-GB"/>
        </w:rPr>
        <w:tab/>
        <w:t>NOK</w:t>
      </w:r>
      <w:r w:rsidR="00023C64" w:rsidRPr="00023C64">
        <w:rPr>
          <w:rFonts w:ascii="Arial" w:eastAsia="Arial" w:hAnsi="Arial" w:cs="Arial"/>
          <w:i/>
          <w:color w:val="808080"/>
          <w:sz w:val="20"/>
          <w:szCs w:val="20"/>
          <w:lang w:val="en-GB" w:bidi="en-GB"/>
        </w:rPr>
        <w:t xml:space="preserve"> [X – X]</w:t>
      </w:r>
    </w:p>
    <w:p w14:paraId="28DE76AA" w14:textId="77777777" w:rsidR="009E04B0" w:rsidRPr="00023C64" w:rsidRDefault="009E04B0" w:rsidP="00695553">
      <w:pPr>
        <w:numPr>
          <w:ilvl w:val="1"/>
          <w:numId w:val="1"/>
        </w:numPr>
        <w:rPr>
          <w:rFonts w:ascii="Arial" w:hAnsi="Arial" w:cs="Arial"/>
          <w:sz w:val="20"/>
          <w:szCs w:val="20"/>
        </w:rPr>
      </w:pPr>
      <w:r w:rsidRPr="007561B4">
        <w:rPr>
          <w:rFonts w:ascii="Arial" w:eastAsia="Arial" w:hAnsi="Arial" w:cs="Arial"/>
          <w:sz w:val="20"/>
          <w:szCs w:val="20"/>
          <w:lang w:val="en-GB" w:bidi="en-GB"/>
        </w:rPr>
        <w:t xml:space="preserve">Partners </w:t>
      </w:r>
      <w:r w:rsidRPr="007561B4">
        <w:rPr>
          <w:rFonts w:ascii="Arial" w:eastAsia="Arial" w:hAnsi="Arial" w:cs="Arial"/>
          <w:sz w:val="20"/>
          <w:szCs w:val="20"/>
          <w:lang w:val="en-GB" w:bidi="en-GB"/>
        </w:rPr>
        <w:tab/>
      </w:r>
      <w:r w:rsidRPr="007561B4">
        <w:rPr>
          <w:rFonts w:ascii="Arial" w:eastAsia="Arial" w:hAnsi="Arial" w:cs="Arial"/>
          <w:sz w:val="20"/>
          <w:szCs w:val="20"/>
          <w:lang w:val="en-GB" w:bidi="en-GB"/>
        </w:rPr>
        <w:tab/>
        <w:t>NOK</w:t>
      </w:r>
      <w:r w:rsidR="00023C64" w:rsidRPr="00023C64">
        <w:rPr>
          <w:rFonts w:ascii="Arial" w:eastAsia="Arial" w:hAnsi="Arial" w:cs="Arial"/>
          <w:i/>
          <w:color w:val="808080"/>
          <w:sz w:val="20"/>
          <w:szCs w:val="20"/>
          <w:lang w:val="en-GB" w:bidi="en-GB"/>
        </w:rPr>
        <w:t xml:space="preserve"> [X – X]</w:t>
      </w:r>
    </w:p>
    <w:p w14:paraId="797B14C0" w14:textId="77777777" w:rsidR="00023C64" w:rsidRPr="007561B4" w:rsidRDefault="009E04B0" w:rsidP="00695553">
      <w:pPr>
        <w:numPr>
          <w:ilvl w:val="1"/>
          <w:numId w:val="1"/>
        </w:numPr>
        <w:rPr>
          <w:rFonts w:ascii="Arial" w:hAnsi="Arial" w:cs="Arial"/>
          <w:sz w:val="20"/>
          <w:szCs w:val="20"/>
        </w:rPr>
      </w:pPr>
      <w:r w:rsidRPr="007561B4">
        <w:rPr>
          <w:rFonts w:ascii="Arial" w:eastAsia="Arial" w:hAnsi="Arial" w:cs="Arial"/>
          <w:sz w:val="20"/>
          <w:szCs w:val="20"/>
          <w:lang w:val="en-GB" w:bidi="en-GB"/>
        </w:rPr>
        <w:t xml:space="preserve">Secretaries </w:t>
      </w:r>
      <w:r w:rsidRPr="007561B4">
        <w:rPr>
          <w:rFonts w:ascii="Arial" w:eastAsia="Arial" w:hAnsi="Arial" w:cs="Arial"/>
          <w:sz w:val="20"/>
          <w:szCs w:val="20"/>
          <w:lang w:val="en-GB" w:bidi="en-GB"/>
        </w:rPr>
        <w:tab/>
      </w:r>
      <w:r w:rsidRPr="007561B4">
        <w:rPr>
          <w:rFonts w:ascii="Arial" w:eastAsia="Arial" w:hAnsi="Arial" w:cs="Arial"/>
          <w:sz w:val="20"/>
          <w:szCs w:val="20"/>
          <w:lang w:val="en-GB" w:bidi="en-GB"/>
        </w:rPr>
        <w:tab/>
        <w:t>NOK</w:t>
      </w:r>
      <w:r w:rsidR="00023C64" w:rsidRPr="00023C64">
        <w:rPr>
          <w:rFonts w:ascii="Arial" w:eastAsia="Arial" w:hAnsi="Arial" w:cs="Arial"/>
          <w:i/>
          <w:color w:val="808080"/>
          <w:sz w:val="20"/>
          <w:szCs w:val="20"/>
          <w:lang w:val="en-GB" w:bidi="en-GB"/>
        </w:rPr>
        <w:t xml:space="preserve"> [X – X]</w:t>
      </w:r>
    </w:p>
    <w:p w14:paraId="01D7F50D" w14:textId="77777777" w:rsidR="009E04B0" w:rsidRPr="007561B4" w:rsidRDefault="009E04B0" w:rsidP="00695553">
      <w:pPr>
        <w:ind w:left="1440"/>
        <w:rPr>
          <w:rFonts w:ascii="Arial" w:hAnsi="Arial" w:cs="Arial"/>
          <w:sz w:val="20"/>
          <w:szCs w:val="20"/>
        </w:rPr>
      </w:pPr>
    </w:p>
    <w:p w14:paraId="54E0AB65" w14:textId="77777777" w:rsidR="009E04B0" w:rsidRDefault="00EC6911" w:rsidP="00EC6911">
      <w:pPr>
        <w:ind w:left="708"/>
        <w:rPr>
          <w:rFonts w:ascii="Arial" w:hAnsi="Arial" w:cs="Arial"/>
          <w:sz w:val="20"/>
          <w:szCs w:val="20"/>
        </w:rPr>
      </w:pPr>
      <w:r>
        <w:rPr>
          <w:rFonts w:ascii="Arial" w:eastAsia="Arial" w:hAnsi="Arial" w:cs="Arial"/>
          <w:sz w:val="20"/>
          <w:szCs w:val="20"/>
          <w:lang w:val="en-GB" w:bidi="en-GB"/>
        </w:rPr>
        <w:t>All amounts stated are excluding VAT.</w:t>
      </w:r>
      <w:r>
        <w:rPr>
          <w:rStyle w:val="Fotnotereferanse"/>
          <w:rFonts w:ascii="Arial" w:eastAsia="Arial" w:hAnsi="Arial" w:cs="Arial"/>
          <w:sz w:val="20"/>
          <w:szCs w:val="20"/>
          <w:lang w:val="en-GB" w:bidi="en-GB"/>
        </w:rPr>
        <w:footnoteReference w:id="5"/>
      </w:r>
      <w:r>
        <w:rPr>
          <w:rFonts w:ascii="Arial" w:eastAsia="Arial" w:hAnsi="Arial" w:cs="Arial"/>
          <w:sz w:val="20"/>
          <w:szCs w:val="20"/>
          <w:lang w:val="en-GB" w:bidi="en-GB"/>
        </w:rPr>
        <w:t xml:space="preserve"> </w:t>
      </w:r>
    </w:p>
    <w:p w14:paraId="4A1C19F6" w14:textId="77777777" w:rsidR="00EC6911" w:rsidRPr="007561B4" w:rsidRDefault="00EC6911" w:rsidP="00EC6911">
      <w:pPr>
        <w:ind w:left="708"/>
        <w:rPr>
          <w:rFonts w:ascii="Arial" w:hAnsi="Arial" w:cs="Arial"/>
          <w:sz w:val="20"/>
          <w:szCs w:val="20"/>
        </w:rPr>
      </w:pPr>
    </w:p>
    <w:p w14:paraId="331CBBCC" w14:textId="77777777" w:rsidR="009E04B0" w:rsidRPr="007561B4" w:rsidRDefault="009E04B0" w:rsidP="00695553">
      <w:pPr>
        <w:ind w:firstLine="708"/>
        <w:rPr>
          <w:rFonts w:ascii="Arial" w:hAnsi="Arial" w:cs="Arial"/>
          <w:sz w:val="20"/>
          <w:szCs w:val="20"/>
        </w:rPr>
      </w:pPr>
      <w:r w:rsidRPr="007561B4">
        <w:rPr>
          <w:rFonts w:ascii="Arial" w:eastAsia="Arial" w:hAnsi="Arial" w:cs="Arial"/>
          <w:sz w:val="20"/>
          <w:szCs w:val="20"/>
          <w:lang w:val="en-GB" w:bidi="en-GB"/>
        </w:rPr>
        <w:t xml:space="preserve">The work is invoiced in arrears every </w:t>
      </w:r>
      <w:r w:rsidR="000A7192" w:rsidRPr="000A7192">
        <w:rPr>
          <w:rFonts w:ascii="Arial" w:eastAsia="Arial" w:hAnsi="Arial" w:cs="Arial"/>
          <w:i/>
          <w:color w:val="808080" w:themeColor="background1" w:themeShade="80"/>
          <w:sz w:val="20"/>
          <w:szCs w:val="20"/>
          <w:lang w:val="en-GB" w:bidi="en-GB"/>
        </w:rPr>
        <w:t xml:space="preserve">[X] </w:t>
      </w:r>
      <w:r w:rsidRPr="007561B4">
        <w:rPr>
          <w:rFonts w:ascii="Arial" w:eastAsia="Arial" w:hAnsi="Arial" w:cs="Arial"/>
          <w:sz w:val="20"/>
          <w:szCs w:val="20"/>
          <w:lang w:val="en-GB" w:bidi="en-GB"/>
        </w:rPr>
        <w:t>month</w:t>
      </w:r>
      <w:r w:rsidR="00023C64" w:rsidRPr="007561B4">
        <w:rPr>
          <w:rStyle w:val="Fotnotereferanse"/>
          <w:rFonts w:ascii="Arial" w:eastAsia="Arial" w:hAnsi="Arial" w:cs="Arial"/>
          <w:sz w:val="20"/>
          <w:szCs w:val="20"/>
          <w:lang w:val="en-GB" w:bidi="en-GB"/>
        </w:rPr>
        <w:footnoteReference w:id="6"/>
      </w:r>
      <w:r w:rsidRPr="007561B4">
        <w:rPr>
          <w:rFonts w:ascii="Arial" w:eastAsia="Arial" w:hAnsi="Arial" w:cs="Arial"/>
          <w:sz w:val="20"/>
          <w:szCs w:val="20"/>
          <w:lang w:val="en-GB" w:bidi="en-GB"/>
        </w:rPr>
        <w:t xml:space="preserve">, with </w:t>
      </w:r>
      <w:r w:rsidR="004C5836">
        <w:rPr>
          <w:rFonts w:ascii="Arial" w:eastAsia="Arial" w:hAnsi="Arial" w:cs="Arial"/>
          <w:sz w:val="20"/>
          <w:szCs w:val="20"/>
          <w:lang w:val="en-GB" w:bidi="en-GB"/>
        </w:rPr>
        <w:t xml:space="preserve">payment due within </w:t>
      </w:r>
      <w:r w:rsidRPr="007561B4">
        <w:rPr>
          <w:rFonts w:ascii="Arial" w:eastAsia="Arial" w:hAnsi="Arial" w:cs="Arial"/>
          <w:sz w:val="20"/>
          <w:szCs w:val="20"/>
          <w:lang w:val="en-GB" w:bidi="en-GB"/>
        </w:rPr>
        <w:t>14 days</w:t>
      </w:r>
      <w:r w:rsidR="004C5836">
        <w:rPr>
          <w:rFonts w:ascii="Arial" w:eastAsia="Arial" w:hAnsi="Arial" w:cs="Arial"/>
          <w:sz w:val="20"/>
          <w:szCs w:val="20"/>
          <w:lang w:val="en-GB" w:bidi="en-GB"/>
        </w:rPr>
        <w:t>.</w:t>
      </w:r>
      <w:r w:rsidRPr="007561B4">
        <w:rPr>
          <w:rFonts w:ascii="Arial" w:eastAsia="Arial" w:hAnsi="Arial" w:cs="Arial"/>
          <w:sz w:val="20"/>
          <w:szCs w:val="20"/>
          <w:lang w:val="en-GB" w:bidi="en-GB"/>
        </w:rPr>
        <w:t xml:space="preserve"> </w:t>
      </w:r>
    </w:p>
    <w:p w14:paraId="705D5B3F" w14:textId="77777777" w:rsidR="009E04B0" w:rsidRDefault="009E04B0" w:rsidP="00695553">
      <w:pPr>
        <w:rPr>
          <w:rFonts w:ascii="Arial" w:hAnsi="Arial" w:cs="Arial"/>
          <w:sz w:val="20"/>
          <w:szCs w:val="20"/>
        </w:rPr>
      </w:pPr>
    </w:p>
    <w:p w14:paraId="48826D6F" w14:textId="77777777" w:rsidR="00D60318" w:rsidRPr="007561B4" w:rsidRDefault="00D60318" w:rsidP="00695553">
      <w:pPr>
        <w:rPr>
          <w:rFonts w:ascii="Arial" w:hAnsi="Arial" w:cs="Arial"/>
          <w:sz w:val="20"/>
          <w:szCs w:val="20"/>
        </w:rPr>
      </w:pPr>
    </w:p>
    <w:p w14:paraId="4EAD0461" w14:textId="77777777" w:rsidR="009E04B0" w:rsidRPr="007561B4" w:rsidRDefault="009E04B0" w:rsidP="00695553">
      <w:pPr>
        <w:numPr>
          <w:ilvl w:val="0"/>
          <w:numId w:val="1"/>
        </w:numPr>
        <w:rPr>
          <w:rFonts w:ascii="Arial" w:hAnsi="Arial" w:cs="Arial"/>
          <w:sz w:val="20"/>
          <w:szCs w:val="20"/>
        </w:rPr>
      </w:pPr>
      <w:r w:rsidRPr="007561B4">
        <w:rPr>
          <w:rFonts w:ascii="Arial" w:eastAsia="Arial" w:hAnsi="Arial" w:cs="Arial"/>
          <w:sz w:val="20"/>
          <w:szCs w:val="20"/>
          <w:lang w:val="en-GB" w:bidi="en-GB"/>
        </w:rPr>
        <w:t xml:space="preserve">The Law Firm’s general terms and conditions, included in PART II of the confirmation of assignment, apply to the assignment. </w:t>
      </w:r>
    </w:p>
    <w:p w14:paraId="5E8DDAE6" w14:textId="77777777" w:rsidR="009E04B0" w:rsidRDefault="009E04B0" w:rsidP="00695553">
      <w:pPr>
        <w:ind w:left="360"/>
        <w:rPr>
          <w:rFonts w:ascii="Arial" w:hAnsi="Arial" w:cs="Arial"/>
          <w:sz w:val="20"/>
          <w:szCs w:val="20"/>
        </w:rPr>
      </w:pPr>
    </w:p>
    <w:p w14:paraId="03138559" w14:textId="77777777" w:rsidR="00D60318" w:rsidRPr="007561B4" w:rsidRDefault="00D60318" w:rsidP="00695553">
      <w:pPr>
        <w:ind w:left="360"/>
        <w:rPr>
          <w:rFonts w:ascii="Arial" w:hAnsi="Arial" w:cs="Arial"/>
          <w:sz w:val="20"/>
          <w:szCs w:val="20"/>
        </w:rPr>
      </w:pPr>
    </w:p>
    <w:p w14:paraId="1EEF4801" w14:textId="77777777" w:rsidR="009E04B0" w:rsidRPr="000A7192" w:rsidRDefault="000A7192" w:rsidP="00695553">
      <w:pPr>
        <w:numPr>
          <w:ilvl w:val="0"/>
          <w:numId w:val="1"/>
        </w:numPr>
        <w:rPr>
          <w:rFonts w:ascii="Arial" w:hAnsi="Arial" w:cs="Arial"/>
          <w:i/>
          <w:sz w:val="20"/>
          <w:szCs w:val="20"/>
        </w:rPr>
      </w:pPr>
      <w:r w:rsidRPr="000A7192">
        <w:rPr>
          <w:rFonts w:ascii="Arial" w:eastAsia="Arial" w:hAnsi="Arial" w:cs="Arial"/>
          <w:i/>
          <w:color w:val="808080" w:themeColor="background1" w:themeShade="80"/>
          <w:sz w:val="20"/>
          <w:szCs w:val="20"/>
          <w:lang w:val="en-GB" w:bidi="en-GB"/>
        </w:rPr>
        <w:t>[DATE AND SIGNATURE OF THE RESPONSIBLE ATTORNEY]</w:t>
      </w:r>
    </w:p>
    <w:p w14:paraId="5CAA0955" w14:textId="77777777" w:rsidR="009E04B0" w:rsidRPr="000A7192" w:rsidRDefault="009E04B0" w:rsidP="00695553">
      <w:pPr>
        <w:pStyle w:val="Tittel"/>
        <w:spacing w:line="276" w:lineRule="auto"/>
        <w:rPr>
          <w:rFonts w:ascii="Arial" w:hAnsi="Arial" w:cs="Arial"/>
        </w:rPr>
      </w:pPr>
      <w:r w:rsidRPr="007561B4">
        <w:rPr>
          <w:lang w:val="en-GB" w:bidi="en-GB"/>
        </w:rPr>
        <w:br w:type="page"/>
      </w:r>
      <w:r w:rsidRPr="000A7192">
        <w:rPr>
          <w:rFonts w:ascii="Arial" w:eastAsia="Arial" w:hAnsi="Arial" w:cs="Arial"/>
          <w:sz w:val="24"/>
          <w:szCs w:val="24"/>
          <w:lang w:val="en-GB" w:bidi="en-GB"/>
        </w:rPr>
        <w:lastRenderedPageBreak/>
        <w:t>PART II: GENERAL TERMS AND CONDITIONS</w:t>
      </w:r>
    </w:p>
    <w:p w14:paraId="0234F0DA" w14:textId="77777777" w:rsidR="00695553" w:rsidRPr="007561B4" w:rsidRDefault="00695553" w:rsidP="00695553">
      <w:pPr>
        <w:pStyle w:val="Bunntekst"/>
        <w:tabs>
          <w:tab w:val="clear" w:pos="4536"/>
          <w:tab w:val="clear" w:pos="9072"/>
        </w:tabs>
        <w:spacing w:line="276" w:lineRule="auto"/>
        <w:rPr>
          <w:rFonts w:ascii="Arial" w:hAnsi="Arial" w:cs="Arial"/>
          <w:sz w:val="20"/>
          <w:szCs w:val="20"/>
        </w:rPr>
      </w:pPr>
    </w:p>
    <w:p w14:paraId="44088F0C" w14:textId="77777777" w:rsidR="009E04B0" w:rsidRPr="00195DCD" w:rsidRDefault="000A7192" w:rsidP="00695553">
      <w:pPr>
        <w:pStyle w:val="Undertittel"/>
        <w:spacing w:line="276" w:lineRule="auto"/>
        <w:jc w:val="left"/>
        <w:rPr>
          <w:rFonts w:ascii="Arial" w:hAnsi="Arial" w:cs="Arial"/>
          <w:b/>
          <w:sz w:val="16"/>
          <w:szCs w:val="20"/>
        </w:rPr>
      </w:pPr>
      <w:r w:rsidRPr="00195DCD">
        <w:rPr>
          <w:rStyle w:val="Sterk"/>
          <w:rFonts w:ascii="Arial" w:eastAsia="Arial" w:hAnsi="Arial" w:cs="Arial"/>
          <w:b w:val="0"/>
          <w:sz w:val="20"/>
          <w:szCs w:val="20"/>
          <w:lang w:val="en-GB" w:bidi="en-GB"/>
        </w:rPr>
        <w:t>1. INTRODUCTION</w:t>
      </w:r>
    </w:p>
    <w:p w14:paraId="17648D84" w14:textId="77777777" w:rsidR="009E04B0" w:rsidRPr="007561B4" w:rsidRDefault="009E04B0" w:rsidP="00695553">
      <w:pPr>
        <w:pStyle w:val="Bunntekst"/>
        <w:tabs>
          <w:tab w:val="clear" w:pos="4536"/>
          <w:tab w:val="clear" w:pos="9072"/>
        </w:tabs>
        <w:spacing w:line="276" w:lineRule="auto"/>
        <w:rPr>
          <w:rFonts w:ascii="Arial" w:hAnsi="Arial" w:cs="Arial"/>
          <w:sz w:val="20"/>
          <w:szCs w:val="20"/>
        </w:rPr>
      </w:pPr>
    </w:p>
    <w:p w14:paraId="0795B661" w14:textId="77777777" w:rsidR="00195DCD" w:rsidRDefault="009E04B0" w:rsidP="00695553">
      <w:pPr>
        <w:pStyle w:val="Bunntekst"/>
        <w:numPr>
          <w:ilvl w:val="1"/>
          <w:numId w:val="16"/>
        </w:numPr>
        <w:tabs>
          <w:tab w:val="clear" w:pos="4536"/>
          <w:tab w:val="clear" w:pos="9072"/>
        </w:tabs>
        <w:spacing w:line="276" w:lineRule="auto"/>
        <w:ind w:left="851" w:hanging="567"/>
        <w:rPr>
          <w:rFonts w:ascii="Arial" w:hAnsi="Arial" w:cs="Arial"/>
          <w:sz w:val="20"/>
          <w:szCs w:val="20"/>
        </w:rPr>
      </w:pPr>
      <w:r w:rsidRPr="007561B4">
        <w:rPr>
          <w:rFonts w:ascii="Arial" w:eastAsia="Arial" w:hAnsi="Arial" w:cs="Arial"/>
          <w:sz w:val="20"/>
          <w:szCs w:val="20"/>
          <w:lang w:val="en-GB" w:bidi="en-GB"/>
        </w:rPr>
        <w:t>These general terms and conditions apply to all assignments that the Law Firm’s attorneys or employees undertake or perform in accordance with PART I.</w:t>
      </w:r>
    </w:p>
    <w:p w14:paraId="15826E46" w14:textId="77777777" w:rsidR="00195DCD" w:rsidRDefault="00195DCD" w:rsidP="00695553">
      <w:pPr>
        <w:pStyle w:val="Bunntekst"/>
        <w:tabs>
          <w:tab w:val="clear" w:pos="4536"/>
          <w:tab w:val="clear" w:pos="9072"/>
        </w:tabs>
        <w:spacing w:line="276" w:lineRule="auto"/>
        <w:ind w:left="851"/>
        <w:rPr>
          <w:rFonts w:ascii="Arial" w:hAnsi="Arial" w:cs="Arial"/>
          <w:sz w:val="20"/>
          <w:szCs w:val="20"/>
        </w:rPr>
      </w:pPr>
    </w:p>
    <w:p w14:paraId="47CD2E66" w14:textId="77777777" w:rsidR="00195DCD" w:rsidRDefault="009E04B0" w:rsidP="00695553">
      <w:pPr>
        <w:pStyle w:val="Bunntekst"/>
        <w:numPr>
          <w:ilvl w:val="1"/>
          <w:numId w:val="16"/>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These general terms and conditions are handed over to the Client upon the establishment of the assignment and are considered accepted by the Client unless </w:t>
      </w:r>
      <w:r w:rsidR="009C1D72">
        <w:rPr>
          <w:rFonts w:ascii="Arial" w:eastAsia="Arial" w:hAnsi="Arial" w:cs="Arial"/>
          <w:sz w:val="20"/>
          <w:szCs w:val="20"/>
          <w:lang w:val="en-GB" w:bidi="en-GB"/>
        </w:rPr>
        <w:t xml:space="preserve">notice is given </w:t>
      </w:r>
      <w:r w:rsidRPr="00195DCD">
        <w:rPr>
          <w:rFonts w:ascii="Arial" w:eastAsia="Arial" w:hAnsi="Arial" w:cs="Arial"/>
          <w:sz w:val="20"/>
          <w:szCs w:val="20"/>
          <w:lang w:val="en-GB" w:bidi="en-GB"/>
        </w:rPr>
        <w:t xml:space="preserve">to the responsible attorney within a reasonable time that the terms are not accepted. </w:t>
      </w:r>
    </w:p>
    <w:p w14:paraId="2579D706" w14:textId="77777777" w:rsidR="00195DCD" w:rsidRDefault="00195DCD" w:rsidP="00695553">
      <w:pPr>
        <w:pStyle w:val="Listeavsnitt"/>
        <w:spacing w:line="276" w:lineRule="auto"/>
        <w:rPr>
          <w:rFonts w:ascii="Arial" w:hAnsi="Arial" w:cs="Arial"/>
          <w:sz w:val="20"/>
          <w:szCs w:val="20"/>
        </w:rPr>
      </w:pPr>
    </w:p>
    <w:p w14:paraId="4E3ABE19" w14:textId="095F9033" w:rsidR="00195DCD" w:rsidRDefault="009E04B0" w:rsidP="00695553">
      <w:pPr>
        <w:pStyle w:val="Bunntekst"/>
        <w:numPr>
          <w:ilvl w:val="1"/>
          <w:numId w:val="16"/>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Unless otherwise agreed, the terms and conditions will also apply to repeat</w:t>
      </w:r>
      <w:r w:rsidR="004A023D">
        <w:rPr>
          <w:rFonts w:ascii="Arial" w:eastAsia="Arial" w:hAnsi="Arial" w:cs="Arial"/>
          <w:sz w:val="20"/>
          <w:szCs w:val="20"/>
          <w:lang w:val="en-GB" w:bidi="en-GB"/>
        </w:rPr>
        <w:t>ed</w:t>
      </w:r>
      <w:r w:rsidRPr="00195DCD">
        <w:rPr>
          <w:rFonts w:ascii="Arial" w:eastAsia="Arial" w:hAnsi="Arial" w:cs="Arial"/>
          <w:sz w:val="20"/>
          <w:szCs w:val="20"/>
          <w:lang w:val="en-GB" w:bidi="en-GB"/>
        </w:rPr>
        <w:t xml:space="preserve"> assignments for the same Client. </w:t>
      </w:r>
    </w:p>
    <w:p w14:paraId="3E9B9269" w14:textId="77777777" w:rsidR="00195DCD" w:rsidRDefault="00195DCD" w:rsidP="00695553">
      <w:pPr>
        <w:pStyle w:val="Listeavsnitt"/>
        <w:spacing w:line="276" w:lineRule="auto"/>
        <w:rPr>
          <w:rFonts w:ascii="Arial" w:hAnsi="Arial" w:cs="Arial"/>
          <w:sz w:val="20"/>
          <w:szCs w:val="20"/>
        </w:rPr>
      </w:pPr>
    </w:p>
    <w:p w14:paraId="714C8B00" w14:textId="77777777" w:rsidR="00195DCD" w:rsidRDefault="009E04B0" w:rsidP="00695553">
      <w:pPr>
        <w:pStyle w:val="Bunntekst"/>
        <w:numPr>
          <w:ilvl w:val="1"/>
          <w:numId w:val="16"/>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 aim and obligation of the Law Firm is to look after the Client’s interests in the best possible way, within the framework provided by this assignment agreement, the Courts of Justice Act, the Regulations for Lawyers, the Code of Conduct for Lawyers, the Law Firm’s internal case processing routines, as well as other relevant regulations. </w:t>
      </w:r>
    </w:p>
    <w:p w14:paraId="207D7C6F" w14:textId="77777777" w:rsidR="00195DCD" w:rsidRDefault="00195DCD" w:rsidP="00695553">
      <w:pPr>
        <w:pStyle w:val="Listeavsnitt"/>
        <w:spacing w:line="276" w:lineRule="auto"/>
        <w:rPr>
          <w:rFonts w:ascii="Arial" w:hAnsi="Arial" w:cs="Arial"/>
          <w:sz w:val="20"/>
          <w:szCs w:val="20"/>
        </w:rPr>
      </w:pPr>
    </w:p>
    <w:p w14:paraId="091B6480" w14:textId="77777777" w:rsidR="00195DCD" w:rsidRDefault="009E04B0" w:rsidP="00695553">
      <w:pPr>
        <w:pStyle w:val="Bunntekst"/>
        <w:numPr>
          <w:ilvl w:val="1"/>
          <w:numId w:val="16"/>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All attorneys and assistant attorneys associated with the Law Firm have a licence or authorisation to practise as a lawyer in Norway issued by the Supervisory Council for Legal Practice. All attorneys and assistant attorneys are members of the Norwegian Bar Association and are thus subject to the Norwegian Bar Association’s special decisions and schemes for compulsory continuing education and handling of disciplinary complaints.</w:t>
      </w:r>
    </w:p>
    <w:p w14:paraId="7AEB427C" w14:textId="77777777" w:rsidR="00195DCD" w:rsidRDefault="00195DCD" w:rsidP="00695553">
      <w:pPr>
        <w:pStyle w:val="Listeavsnitt"/>
        <w:spacing w:line="276" w:lineRule="auto"/>
        <w:rPr>
          <w:rFonts w:ascii="Arial" w:hAnsi="Arial" w:cs="Arial"/>
          <w:sz w:val="20"/>
          <w:szCs w:val="20"/>
        </w:rPr>
      </w:pPr>
    </w:p>
    <w:p w14:paraId="2E6293E5" w14:textId="77777777" w:rsidR="009E04B0" w:rsidRPr="00695553" w:rsidRDefault="00794938" w:rsidP="00695553">
      <w:pPr>
        <w:pStyle w:val="Bunntekst"/>
        <w:numPr>
          <w:ilvl w:val="1"/>
          <w:numId w:val="16"/>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In accordance with the Norwegian Bar Association’s guidance on how human rights are expected to be respected by law firms, the responsible attorney will take the initiative to discuss current and potential human rights violations that the assignment may ca</w:t>
      </w:r>
      <w:r w:rsidR="008B6E2A">
        <w:rPr>
          <w:rFonts w:ascii="Arial" w:eastAsia="Arial" w:hAnsi="Arial" w:cs="Arial"/>
          <w:sz w:val="20"/>
          <w:szCs w:val="20"/>
          <w:lang w:val="en-GB" w:bidi="en-GB"/>
        </w:rPr>
        <w:t>u</w:t>
      </w:r>
      <w:r w:rsidRPr="00195DCD">
        <w:rPr>
          <w:rFonts w:ascii="Arial" w:eastAsia="Arial" w:hAnsi="Arial" w:cs="Arial"/>
          <w:sz w:val="20"/>
          <w:szCs w:val="20"/>
          <w:lang w:val="en-GB" w:bidi="en-GB"/>
        </w:rPr>
        <w:t>se, with the aim of assisting the Client in avoiding such violations. The Law Firm reserves the right to withdraw from the assignment if the Client decides not to follow the attorney’s advice and it is clear to the attorney that all or parts of the assignment may involve infringement of human rights.</w:t>
      </w:r>
    </w:p>
    <w:p w14:paraId="16D093FB" w14:textId="77777777" w:rsidR="00195DCD" w:rsidRPr="00195DCD" w:rsidRDefault="00195DCD" w:rsidP="00695553">
      <w:pPr>
        <w:pStyle w:val="Bunntekst"/>
        <w:tabs>
          <w:tab w:val="clear" w:pos="4536"/>
          <w:tab w:val="clear" w:pos="9072"/>
        </w:tabs>
        <w:spacing w:line="276" w:lineRule="auto"/>
        <w:rPr>
          <w:rFonts w:ascii="Arial" w:hAnsi="Arial" w:cs="Arial"/>
          <w:b/>
          <w:sz w:val="20"/>
          <w:szCs w:val="20"/>
        </w:rPr>
      </w:pPr>
    </w:p>
    <w:p w14:paraId="5AC9CB37" w14:textId="77777777" w:rsidR="009E04B0" w:rsidRPr="00195DCD" w:rsidRDefault="009E04B0" w:rsidP="00695553">
      <w:pPr>
        <w:pStyle w:val="Undertittel"/>
        <w:spacing w:line="276" w:lineRule="auto"/>
        <w:jc w:val="left"/>
        <w:rPr>
          <w:rFonts w:ascii="Arial" w:hAnsi="Arial" w:cs="Arial"/>
          <w:sz w:val="20"/>
          <w:szCs w:val="20"/>
        </w:rPr>
      </w:pPr>
      <w:r w:rsidRPr="00195DCD">
        <w:rPr>
          <w:rFonts w:ascii="Arial" w:eastAsia="Arial" w:hAnsi="Arial" w:cs="Arial"/>
          <w:sz w:val="20"/>
          <w:szCs w:val="20"/>
          <w:lang w:val="en-GB" w:bidi="en-GB"/>
        </w:rPr>
        <w:t xml:space="preserve">2. </w:t>
      </w:r>
      <w:r w:rsidRPr="00195DCD">
        <w:rPr>
          <w:rStyle w:val="Utheving"/>
          <w:rFonts w:ascii="Arial" w:eastAsia="Arial" w:hAnsi="Arial" w:cs="Arial"/>
          <w:i w:val="0"/>
          <w:sz w:val="20"/>
          <w:szCs w:val="20"/>
          <w:lang w:val="en-GB" w:bidi="en-GB"/>
        </w:rPr>
        <w:t xml:space="preserve">ESTABLISHMENT </w:t>
      </w:r>
      <w:r w:rsidRPr="00195DCD">
        <w:rPr>
          <w:rFonts w:ascii="Arial" w:eastAsia="Arial" w:hAnsi="Arial" w:cs="Arial"/>
          <w:sz w:val="20"/>
          <w:szCs w:val="20"/>
          <w:lang w:val="en-GB" w:bidi="en-GB"/>
        </w:rPr>
        <w:t>AND PERFORMANCE OF THE ASSIGNMENT</w:t>
      </w:r>
    </w:p>
    <w:p w14:paraId="0A85DE51" w14:textId="77777777" w:rsidR="009E04B0" w:rsidRPr="007561B4" w:rsidRDefault="009E04B0" w:rsidP="00695553">
      <w:pPr>
        <w:pStyle w:val="Bunntekst"/>
        <w:tabs>
          <w:tab w:val="clear" w:pos="4536"/>
          <w:tab w:val="clear" w:pos="9072"/>
        </w:tabs>
        <w:spacing w:line="276" w:lineRule="auto"/>
        <w:ind w:left="851" w:hanging="567"/>
        <w:rPr>
          <w:rFonts w:ascii="Arial" w:hAnsi="Arial" w:cs="Arial"/>
          <w:sz w:val="20"/>
          <w:szCs w:val="20"/>
        </w:rPr>
      </w:pPr>
    </w:p>
    <w:p w14:paraId="4CAE7B07" w14:textId="77777777" w:rsidR="00195DCD" w:rsidRDefault="009E04B0" w:rsidP="00695553">
      <w:pPr>
        <w:pStyle w:val="Bunntekst"/>
        <w:numPr>
          <w:ilvl w:val="1"/>
          <w:numId w:val="17"/>
        </w:numPr>
        <w:tabs>
          <w:tab w:val="clear" w:pos="4536"/>
          <w:tab w:val="clear" w:pos="9072"/>
        </w:tabs>
        <w:spacing w:line="276" w:lineRule="auto"/>
        <w:ind w:left="851" w:hanging="567"/>
        <w:rPr>
          <w:rFonts w:ascii="Arial" w:hAnsi="Arial" w:cs="Arial"/>
          <w:sz w:val="20"/>
          <w:szCs w:val="20"/>
        </w:rPr>
      </w:pPr>
      <w:r w:rsidRPr="007561B4">
        <w:rPr>
          <w:rFonts w:ascii="Arial" w:eastAsia="Arial" w:hAnsi="Arial" w:cs="Arial"/>
          <w:sz w:val="20"/>
          <w:szCs w:val="20"/>
          <w:lang w:val="en-GB" w:bidi="en-GB"/>
        </w:rPr>
        <w:t xml:space="preserve">The description of the assignment is stated in PART I, supplemented by the agreements arising from oral or written correspondence. In the event of a significant change to the assignment, the Client shall receive an updated PART I of the confirmation of assignment. </w:t>
      </w:r>
    </w:p>
    <w:p w14:paraId="5CB29ED2" w14:textId="77777777" w:rsidR="00195DCD" w:rsidRDefault="00195DCD" w:rsidP="00695553">
      <w:pPr>
        <w:pStyle w:val="Bunntekst"/>
        <w:tabs>
          <w:tab w:val="clear" w:pos="4536"/>
          <w:tab w:val="clear" w:pos="9072"/>
        </w:tabs>
        <w:spacing w:line="276" w:lineRule="auto"/>
        <w:ind w:left="851" w:hanging="567"/>
        <w:rPr>
          <w:rFonts w:ascii="Arial" w:hAnsi="Arial" w:cs="Arial"/>
          <w:sz w:val="20"/>
          <w:szCs w:val="20"/>
        </w:rPr>
      </w:pPr>
    </w:p>
    <w:p w14:paraId="4B83D1FA" w14:textId="77777777" w:rsidR="00195DCD" w:rsidRDefault="009E04B0" w:rsidP="00695553">
      <w:pPr>
        <w:pStyle w:val="Bunntekst"/>
        <w:numPr>
          <w:ilvl w:val="1"/>
          <w:numId w:val="17"/>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A responsible attorney will be appointed for each and every assignment and will be able to receive assistance from the Law Firm’s other employees for the performance of parts of the assignment. </w:t>
      </w:r>
    </w:p>
    <w:p w14:paraId="1B1B4F0C" w14:textId="77777777" w:rsidR="00195DCD" w:rsidRDefault="00195DCD" w:rsidP="00695553">
      <w:pPr>
        <w:pStyle w:val="Listeavsnitt"/>
        <w:spacing w:line="276" w:lineRule="auto"/>
        <w:ind w:left="851" w:hanging="567"/>
        <w:rPr>
          <w:rFonts w:ascii="Arial" w:hAnsi="Arial" w:cs="Arial"/>
          <w:sz w:val="20"/>
          <w:szCs w:val="20"/>
        </w:rPr>
      </w:pPr>
    </w:p>
    <w:p w14:paraId="01B43011" w14:textId="77777777" w:rsidR="00195DCD" w:rsidRDefault="00061CCE" w:rsidP="00695553">
      <w:pPr>
        <w:pStyle w:val="Bunntekst"/>
        <w:numPr>
          <w:ilvl w:val="1"/>
          <w:numId w:val="17"/>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In accordance with the Anti-Money Laundering Act, customer due diligence measures must be taken with identity verification. The Client is obliged to contribute to the implementation of customer due diligence measures. Be aware that if there is suspicion that transactions are related to the proceeds of a criminal offence, etc., the Law Firm is obliged to inform ØKOKRIM about this, without</w:t>
      </w:r>
      <w:r w:rsidR="008B6E2A">
        <w:rPr>
          <w:rFonts w:ascii="Arial" w:eastAsia="Arial" w:hAnsi="Arial" w:cs="Arial"/>
          <w:sz w:val="20"/>
          <w:szCs w:val="20"/>
          <w:lang w:val="en-GB" w:bidi="en-GB"/>
        </w:rPr>
        <w:t xml:space="preserve"> any obligation to</w:t>
      </w:r>
      <w:r w:rsidRPr="00195DCD">
        <w:rPr>
          <w:rFonts w:ascii="Arial" w:eastAsia="Arial" w:hAnsi="Arial" w:cs="Arial"/>
          <w:sz w:val="20"/>
          <w:szCs w:val="20"/>
          <w:lang w:val="en-GB" w:bidi="en-GB"/>
        </w:rPr>
        <w:t xml:space="preserve"> notify</w:t>
      </w:r>
      <w:r w:rsidR="008B6E2A">
        <w:rPr>
          <w:rFonts w:ascii="Arial" w:eastAsia="Arial" w:hAnsi="Arial" w:cs="Arial"/>
          <w:sz w:val="20"/>
          <w:szCs w:val="20"/>
          <w:lang w:val="en-GB" w:bidi="en-GB"/>
        </w:rPr>
        <w:t xml:space="preserve"> </w:t>
      </w:r>
      <w:r w:rsidRPr="00195DCD">
        <w:rPr>
          <w:rFonts w:ascii="Arial" w:eastAsia="Arial" w:hAnsi="Arial" w:cs="Arial"/>
          <w:sz w:val="20"/>
          <w:szCs w:val="20"/>
          <w:lang w:val="en-GB" w:bidi="en-GB"/>
        </w:rPr>
        <w:t>the Client or third parties.</w:t>
      </w:r>
    </w:p>
    <w:p w14:paraId="78A4B232" w14:textId="77777777" w:rsidR="00195DCD" w:rsidRDefault="00195DCD" w:rsidP="00695553">
      <w:pPr>
        <w:pStyle w:val="Listeavsnitt"/>
        <w:spacing w:line="276" w:lineRule="auto"/>
        <w:ind w:left="851" w:hanging="567"/>
        <w:rPr>
          <w:rFonts w:ascii="Arial" w:hAnsi="Arial" w:cs="Arial"/>
          <w:sz w:val="20"/>
          <w:szCs w:val="20"/>
        </w:rPr>
      </w:pPr>
    </w:p>
    <w:p w14:paraId="615526F2" w14:textId="77777777" w:rsidR="00195DCD" w:rsidRDefault="009E04B0" w:rsidP="00695553">
      <w:pPr>
        <w:pStyle w:val="Bunntekst"/>
        <w:numPr>
          <w:ilvl w:val="1"/>
          <w:numId w:val="17"/>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Before an assignment is established, it must be ascertained that there is no conflict of interest or other circumstances </w:t>
      </w:r>
      <w:r w:rsidR="009C1D72">
        <w:rPr>
          <w:rFonts w:ascii="Arial" w:eastAsia="Arial" w:hAnsi="Arial" w:cs="Arial"/>
          <w:sz w:val="20"/>
          <w:szCs w:val="20"/>
          <w:lang w:val="en-GB" w:bidi="en-GB"/>
        </w:rPr>
        <w:t xml:space="preserve">that </w:t>
      </w:r>
      <w:r w:rsidRPr="00195DCD">
        <w:rPr>
          <w:rFonts w:ascii="Arial" w:eastAsia="Arial" w:hAnsi="Arial" w:cs="Arial"/>
          <w:sz w:val="20"/>
          <w:szCs w:val="20"/>
          <w:lang w:val="en-GB" w:bidi="en-GB"/>
        </w:rPr>
        <w:t xml:space="preserve">indicate that the Law Firm cannot or should not take on the assignment. The Client is obliged to contribute to such clarification. The same applies to </w:t>
      </w:r>
      <w:r w:rsidRPr="00195DCD">
        <w:rPr>
          <w:rFonts w:ascii="Arial" w:eastAsia="Arial" w:hAnsi="Arial" w:cs="Arial"/>
          <w:sz w:val="20"/>
          <w:szCs w:val="20"/>
          <w:lang w:val="en-GB" w:bidi="en-GB"/>
        </w:rPr>
        <w:lastRenderedPageBreak/>
        <w:t xml:space="preserve">an established assignment if a new opponent is introduced into the case. If consideration for the Client so dictates and it is found unproblematic, work may start before the clarification procedure has been completed. In such cases, the Law Firm may have to relinquish the assignment </w:t>
      </w:r>
      <w:r w:rsidR="009C1D72">
        <w:rPr>
          <w:rFonts w:ascii="Arial" w:eastAsia="Arial" w:hAnsi="Arial" w:cs="Arial"/>
          <w:sz w:val="20"/>
          <w:szCs w:val="20"/>
          <w:lang w:val="en-GB" w:bidi="en-GB"/>
        </w:rPr>
        <w:t xml:space="preserve">at a later point in time </w:t>
      </w:r>
      <w:r w:rsidRPr="00195DCD">
        <w:rPr>
          <w:rFonts w:ascii="Arial" w:eastAsia="Arial" w:hAnsi="Arial" w:cs="Arial"/>
          <w:sz w:val="20"/>
          <w:szCs w:val="20"/>
          <w:lang w:val="en-GB" w:bidi="en-GB"/>
        </w:rPr>
        <w:t xml:space="preserve">due to this. </w:t>
      </w:r>
    </w:p>
    <w:p w14:paraId="1AC3E95C" w14:textId="77777777" w:rsidR="00195DCD" w:rsidRDefault="00195DCD" w:rsidP="00695553">
      <w:pPr>
        <w:pStyle w:val="Listeavsnitt"/>
        <w:spacing w:line="276" w:lineRule="auto"/>
        <w:ind w:left="851" w:hanging="567"/>
        <w:rPr>
          <w:rFonts w:ascii="Arial" w:hAnsi="Arial" w:cs="Arial"/>
          <w:sz w:val="20"/>
          <w:szCs w:val="20"/>
        </w:rPr>
      </w:pPr>
    </w:p>
    <w:p w14:paraId="68DC20EC" w14:textId="77777777" w:rsidR="00195DCD" w:rsidRDefault="00061CCE" w:rsidP="00695553">
      <w:pPr>
        <w:pStyle w:val="Bunntekst"/>
        <w:numPr>
          <w:ilvl w:val="1"/>
          <w:numId w:val="17"/>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In order to be able to look after the Client’s interests in the best possible way, the Law Firm relies on the Client providing complete information as soon as possible about the facts of the case and the outcome the Client wants to achieve in the case. </w:t>
      </w:r>
    </w:p>
    <w:p w14:paraId="5FE7E7E8" w14:textId="77777777" w:rsidR="00195DCD" w:rsidRDefault="00195DCD" w:rsidP="00695553">
      <w:pPr>
        <w:pStyle w:val="Listeavsnitt"/>
        <w:spacing w:line="276" w:lineRule="auto"/>
        <w:ind w:left="851" w:hanging="567"/>
        <w:rPr>
          <w:rFonts w:ascii="Arial" w:hAnsi="Arial" w:cs="Arial"/>
          <w:sz w:val="20"/>
          <w:szCs w:val="20"/>
        </w:rPr>
      </w:pPr>
    </w:p>
    <w:p w14:paraId="5EB897E1" w14:textId="77777777" w:rsidR="00695553" w:rsidRPr="00695553" w:rsidRDefault="009E04B0" w:rsidP="00695553">
      <w:pPr>
        <w:pStyle w:val="Bunntekst"/>
        <w:numPr>
          <w:ilvl w:val="1"/>
          <w:numId w:val="17"/>
        </w:numPr>
        <w:tabs>
          <w:tab w:val="clear" w:pos="4536"/>
          <w:tab w:val="clear" w:pos="9072"/>
        </w:tabs>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All inquiries to and from the opponent shall be clarified with or go through the Law Firm. The Law Firm and the Client shall keep each other informed about the communication that takes place with the parties involved. </w:t>
      </w:r>
    </w:p>
    <w:p w14:paraId="6AA78274" w14:textId="77777777" w:rsidR="00695553" w:rsidRPr="00695553" w:rsidRDefault="00695553" w:rsidP="00695553">
      <w:pPr>
        <w:spacing w:line="276" w:lineRule="auto"/>
      </w:pPr>
    </w:p>
    <w:p w14:paraId="374495AD" w14:textId="77777777" w:rsidR="009E04B0" w:rsidRPr="00195DCD" w:rsidRDefault="009E04B0" w:rsidP="00695553">
      <w:pPr>
        <w:pStyle w:val="Undertittel"/>
        <w:spacing w:line="276" w:lineRule="auto"/>
        <w:jc w:val="left"/>
        <w:rPr>
          <w:rFonts w:ascii="Arial" w:hAnsi="Arial" w:cs="Arial"/>
          <w:sz w:val="20"/>
          <w:szCs w:val="20"/>
        </w:rPr>
      </w:pPr>
      <w:r w:rsidRPr="00195DCD">
        <w:rPr>
          <w:rFonts w:ascii="Arial" w:eastAsia="Arial" w:hAnsi="Arial" w:cs="Arial"/>
          <w:sz w:val="20"/>
          <w:szCs w:val="20"/>
          <w:lang w:val="en-GB" w:bidi="en-GB"/>
        </w:rPr>
        <w:t>3. CALCULATION OF FEES AND INVOICING</w:t>
      </w:r>
    </w:p>
    <w:p w14:paraId="5D2ED926" w14:textId="77777777" w:rsidR="009E04B0" w:rsidRPr="007561B4" w:rsidRDefault="009E04B0" w:rsidP="00695553">
      <w:pPr>
        <w:spacing w:line="276" w:lineRule="auto"/>
        <w:rPr>
          <w:rFonts w:ascii="Arial" w:hAnsi="Arial" w:cs="Arial"/>
          <w:sz w:val="20"/>
          <w:szCs w:val="20"/>
        </w:rPr>
      </w:pPr>
    </w:p>
    <w:p w14:paraId="694D75B2" w14:textId="72BD6DD7" w:rsidR="00195DCD" w:rsidRDefault="009E04B0"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Unless agreed</w:t>
      </w:r>
      <w:r w:rsidR="00B7081E" w:rsidRPr="00B7081E">
        <w:rPr>
          <w:rFonts w:ascii="Arial" w:eastAsia="Arial" w:hAnsi="Arial" w:cs="Arial"/>
          <w:sz w:val="20"/>
          <w:szCs w:val="20"/>
          <w:lang w:val="en-GB" w:bidi="en-GB"/>
        </w:rPr>
        <w:t xml:space="preserve"> </w:t>
      </w:r>
      <w:r w:rsidR="00B7081E" w:rsidRPr="00195DCD">
        <w:rPr>
          <w:rFonts w:ascii="Arial" w:eastAsia="Arial" w:hAnsi="Arial" w:cs="Arial"/>
          <w:sz w:val="20"/>
          <w:szCs w:val="20"/>
          <w:lang w:val="en-GB" w:bidi="en-GB"/>
        </w:rPr>
        <w:t>otherwise</w:t>
      </w:r>
      <w:r w:rsidRPr="00195DCD">
        <w:rPr>
          <w:rFonts w:ascii="Arial" w:eastAsia="Arial" w:hAnsi="Arial" w:cs="Arial"/>
          <w:sz w:val="20"/>
          <w:szCs w:val="20"/>
          <w:lang w:val="en-GB" w:bidi="en-GB"/>
        </w:rPr>
        <w:t xml:space="preserve">, </w:t>
      </w:r>
      <w:r w:rsidR="004A023D">
        <w:rPr>
          <w:rFonts w:ascii="Arial" w:eastAsia="Arial" w:hAnsi="Arial" w:cs="Arial"/>
          <w:sz w:val="20"/>
          <w:szCs w:val="20"/>
          <w:lang w:val="en-GB" w:bidi="en-GB"/>
        </w:rPr>
        <w:t>total costs are based on</w:t>
      </w:r>
      <w:r w:rsidR="004A023D" w:rsidRPr="004A023D">
        <w:rPr>
          <w:rFonts w:ascii="Arial" w:eastAsia="Arial" w:hAnsi="Arial" w:cs="Arial"/>
          <w:sz w:val="20"/>
          <w:szCs w:val="20"/>
          <w:lang w:val="en-GB" w:bidi="en-GB"/>
        </w:rPr>
        <w:t xml:space="preserve"> time spent on efficient and professional work with the </w:t>
      </w:r>
      <w:r w:rsidR="004A023D" w:rsidRPr="00195DCD">
        <w:rPr>
          <w:rFonts w:ascii="Arial" w:eastAsia="Arial" w:hAnsi="Arial" w:cs="Arial"/>
          <w:sz w:val="20"/>
          <w:szCs w:val="20"/>
          <w:lang w:val="en-GB" w:bidi="en-GB"/>
        </w:rPr>
        <w:t xml:space="preserve">Client’s </w:t>
      </w:r>
      <w:r w:rsidR="004A023D">
        <w:rPr>
          <w:rFonts w:ascii="Arial" w:eastAsia="Arial" w:hAnsi="Arial" w:cs="Arial"/>
          <w:sz w:val="20"/>
          <w:szCs w:val="20"/>
          <w:lang w:val="en-GB" w:bidi="en-GB"/>
        </w:rPr>
        <w:t>assignment.</w:t>
      </w:r>
      <w:r w:rsidRPr="00195DCD">
        <w:rPr>
          <w:rFonts w:ascii="Arial" w:eastAsia="Arial" w:hAnsi="Arial" w:cs="Arial"/>
          <w:sz w:val="20"/>
          <w:szCs w:val="20"/>
          <w:lang w:val="en-GB" w:bidi="en-GB"/>
        </w:rPr>
        <w:t xml:space="preserve"> Our indicative hourly rates can be found in PART I of the confirmation of assignment</w:t>
      </w:r>
      <w:r w:rsidR="004A023D">
        <w:rPr>
          <w:rFonts w:ascii="Arial" w:eastAsia="Arial" w:hAnsi="Arial" w:cs="Arial"/>
          <w:sz w:val="20"/>
          <w:szCs w:val="20"/>
          <w:lang w:val="en-GB" w:bidi="en-GB"/>
        </w:rPr>
        <w:t>.</w:t>
      </w:r>
    </w:p>
    <w:p w14:paraId="5BA92745" w14:textId="77777777" w:rsidR="00195DCD" w:rsidRDefault="00195DCD" w:rsidP="00695553">
      <w:pPr>
        <w:pStyle w:val="Listeavsnitt"/>
        <w:spacing w:line="276" w:lineRule="auto"/>
        <w:ind w:left="851"/>
        <w:rPr>
          <w:rFonts w:ascii="Arial" w:hAnsi="Arial" w:cs="Arial"/>
          <w:sz w:val="20"/>
          <w:szCs w:val="20"/>
        </w:rPr>
      </w:pPr>
    </w:p>
    <w:p w14:paraId="03547AB4" w14:textId="77777777" w:rsidR="00195DCD" w:rsidRDefault="009E04B0"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 minimum hourly unit is 0.25 hours (15 minutes). Phone calls and the like that do not consist of very short messages are calculated with a minimum of 0.25 hours. </w:t>
      </w:r>
    </w:p>
    <w:p w14:paraId="5AF40FCD" w14:textId="77777777" w:rsidR="00195DCD" w:rsidRPr="00195DCD" w:rsidRDefault="00195DCD" w:rsidP="00695553">
      <w:pPr>
        <w:pStyle w:val="Listeavsnitt"/>
        <w:spacing w:line="276" w:lineRule="auto"/>
        <w:ind w:left="851"/>
        <w:rPr>
          <w:rFonts w:ascii="Arial" w:hAnsi="Arial" w:cs="Arial"/>
          <w:sz w:val="20"/>
          <w:szCs w:val="20"/>
        </w:rPr>
      </w:pPr>
    </w:p>
    <w:p w14:paraId="600EFF18" w14:textId="77777777" w:rsidR="00195DCD" w:rsidRDefault="009E04B0"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When determining the final fee, the responsible attorney will assess on a discretionary basis such things as the nature and complexity of the work, the outcome of the case, as well as how efficiently the assignment has been carried out in accordance with the attorney’s experience and expertise. The fee shall be in reasonable proportion to the assignment and the work performed by the attorney and the rest of the Law Firm’s employees. </w:t>
      </w:r>
    </w:p>
    <w:p w14:paraId="3A5D2179" w14:textId="77777777" w:rsidR="00195DCD" w:rsidRPr="00195DCD" w:rsidRDefault="00195DCD" w:rsidP="00695553">
      <w:pPr>
        <w:pStyle w:val="Listeavsnitt"/>
        <w:spacing w:line="276" w:lineRule="auto"/>
        <w:ind w:left="851"/>
        <w:rPr>
          <w:rFonts w:ascii="Arial" w:hAnsi="Arial" w:cs="Arial"/>
          <w:sz w:val="20"/>
          <w:szCs w:val="20"/>
        </w:rPr>
      </w:pPr>
    </w:p>
    <w:p w14:paraId="21D9EC0F" w14:textId="77777777" w:rsidR="00195DCD" w:rsidRDefault="00705323"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 Client is liable to cover court fees, the costs for expert witnesses and other costs incurred in a legal process. The Client is also liable to cover the opponent’s legal costs if these are imposed. Legal costs will often, but not always, be charged to the </w:t>
      </w:r>
      <w:r w:rsidR="008B6E2A">
        <w:rPr>
          <w:rFonts w:ascii="Arial" w:eastAsia="Arial" w:hAnsi="Arial" w:cs="Arial"/>
          <w:sz w:val="20"/>
          <w:szCs w:val="20"/>
          <w:lang w:val="en-GB" w:bidi="en-GB"/>
        </w:rPr>
        <w:t xml:space="preserve">losing </w:t>
      </w:r>
      <w:r w:rsidRPr="00195DCD">
        <w:rPr>
          <w:rFonts w:ascii="Arial" w:eastAsia="Arial" w:hAnsi="Arial" w:cs="Arial"/>
          <w:sz w:val="20"/>
          <w:szCs w:val="20"/>
          <w:lang w:val="en-GB" w:bidi="en-GB"/>
        </w:rPr>
        <w:t>party</w:t>
      </w:r>
      <w:r w:rsidR="008B6E2A">
        <w:rPr>
          <w:rFonts w:ascii="Arial" w:eastAsia="Arial" w:hAnsi="Arial" w:cs="Arial"/>
          <w:sz w:val="20"/>
          <w:szCs w:val="20"/>
          <w:lang w:val="en-GB" w:bidi="en-GB"/>
        </w:rPr>
        <w:t>.</w:t>
      </w:r>
      <w:r w:rsidRPr="00195DCD">
        <w:rPr>
          <w:rFonts w:ascii="Arial" w:eastAsia="Arial" w:hAnsi="Arial" w:cs="Arial"/>
          <w:sz w:val="20"/>
          <w:szCs w:val="20"/>
          <w:lang w:val="en-GB" w:bidi="en-GB"/>
        </w:rPr>
        <w:t xml:space="preserve"> </w:t>
      </w:r>
    </w:p>
    <w:p w14:paraId="4041D1C4" w14:textId="77777777" w:rsidR="00195DCD" w:rsidRPr="00195DCD" w:rsidRDefault="00195DCD" w:rsidP="00695553">
      <w:pPr>
        <w:pStyle w:val="Listeavsnitt"/>
        <w:spacing w:line="276" w:lineRule="auto"/>
        <w:ind w:left="851"/>
        <w:rPr>
          <w:rFonts w:ascii="Arial" w:hAnsi="Arial" w:cs="Arial"/>
          <w:sz w:val="20"/>
          <w:szCs w:val="20"/>
        </w:rPr>
      </w:pPr>
    </w:p>
    <w:p w14:paraId="38192FA2" w14:textId="77777777" w:rsidR="00195DCD" w:rsidRDefault="00705323"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The Law Firm’s fee claim against the Client is not limited by the Client being awarded less in compensation for legal costs than the face value of the fee claim.</w:t>
      </w:r>
    </w:p>
    <w:p w14:paraId="3945351D" w14:textId="77777777" w:rsidR="00195DCD" w:rsidRPr="00195DCD" w:rsidRDefault="00195DCD" w:rsidP="00695553">
      <w:pPr>
        <w:pStyle w:val="Listeavsnitt"/>
        <w:spacing w:line="276" w:lineRule="auto"/>
        <w:ind w:left="851"/>
        <w:rPr>
          <w:rFonts w:ascii="Arial" w:hAnsi="Arial" w:cs="Arial"/>
          <w:sz w:val="20"/>
          <w:szCs w:val="20"/>
        </w:rPr>
      </w:pPr>
    </w:p>
    <w:p w14:paraId="2F137C84" w14:textId="77777777" w:rsidR="00195DCD" w:rsidRDefault="00705323"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Statutory limitations in the Client’s right to claim compensation for legal aid costs from the opponent do not limit the Law Firm’s fee claim against the Client. Such limitations have been determined in cases before the Conciliation Board and in small claims processes, among other things.</w:t>
      </w:r>
      <w:r w:rsidR="00C60510" w:rsidRPr="007561B4">
        <w:rPr>
          <w:rStyle w:val="Fotnotereferanse"/>
          <w:rFonts w:ascii="Arial" w:eastAsia="Arial" w:hAnsi="Arial" w:cs="Arial"/>
          <w:sz w:val="20"/>
          <w:szCs w:val="20"/>
          <w:lang w:val="en-GB" w:bidi="en-GB"/>
        </w:rPr>
        <w:footnoteReference w:id="7"/>
      </w:r>
      <w:r w:rsidRPr="00195DCD">
        <w:rPr>
          <w:rFonts w:ascii="Arial" w:eastAsia="Arial" w:hAnsi="Arial" w:cs="Arial"/>
          <w:sz w:val="20"/>
          <w:szCs w:val="20"/>
          <w:lang w:val="en-GB" w:bidi="en-GB"/>
        </w:rPr>
        <w:t xml:space="preserve"> </w:t>
      </w:r>
    </w:p>
    <w:p w14:paraId="199CABC6" w14:textId="77777777" w:rsidR="00195DCD" w:rsidRPr="00195DCD" w:rsidRDefault="00195DCD" w:rsidP="00695553">
      <w:pPr>
        <w:pStyle w:val="Listeavsnitt"/>
        <w:spacing w:line="276" w:lineRule="auto"/>
        <w:ind w:left="851"/>
        <w:rPr>
          <w:rFonts w:ascii="Arial" w:hAnsi="Arial" w:cs="Arial"/>
          <w:sz w:val="20"/>
          <w:szCs w:val="20"/>
        </w:rPr>
      </w:pPr>
    </w:p>
    <w:p w14:paraId="2A7679E9" w14:textId="77777777" w:rsidR="00195DCD" w:rsidRDefault="00134951"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A specified overview of the work performed, </w:t>
      </w:r>
      <w:r w:rsidR="009C1D72" w:rsidRPr="009C1D72">
        <w:rPr>
          <w:rFonts w:ascii="Arial" w:eastAsia="Arial" w:hAnsi="Arial" w:cs="Arial"/>
          <w:sz w:val="20"/>
          <w:szCs w:val="20"/>
          <w:lang w:val="en-GB" w:bidi="en-GB"/>
        </w:rPr>
        <w:t>expenditures</w:t>
      </w:r>
      <w:r w:rsidR="008B6E2A">
        <w:rPr>
          <w:rFonts w:ascii="Arial" w:eastAsia="Arial" w:hAnsi="Arial" w:cs="Arial"/>
          <w:sz w:val="20"/>
          <w:szCs w:val="20"/>
          <w:lang w:val="en-GB" w:bidi="en-GB"/>
        </w:rPr>
        <w:t xml:space="preserve">, </w:t>
      </w:r>
      <w:r w:rsidRPr="00195DCD">
        <w:rPr>
          <w:rFonts w:ascii="Arial" w:eastAsia="Arial" w:hAnsi="Arial" w:cs="Arial"/>
          <w:sz w:val="20"/>
          <w:szCs w:val="20"/>
          <w:lang w:val="en-GB" w:bidi="en-GB"/>
        </w:rPr>
        <w:t xml:space="preserve">etc., shall </w:t>
      </w:r>
      <w:r w:rsidR="008B6E2A">
        <w:rPr>
          <w:rFonts w:ascii="Arial" w:eastAsia="Arial" w:hAnsi="Arial" w:cs="Arial"/>
          <w:sz w:val="20"/>
          <w:szCs w:val="20"/>
          <w:lang w:val="en-GB" w:bidi="en-GB"/>
        </w:rPr>
        <w:t>be attached to</w:t>
      </w:r>
      <w:r w:rsidRPr="00195DCD">
        <w:rPr>
          <w:rFonts w:ascii="Arial" w:eastAsia="Arial" w:hAnsi="Arial" w:cs="Arial"/>
          <w:sz w:val="20"/>
          <w:szCs w:val="20"/>
          <w:lang w:val="en-GB" w:bidi="en-GB"/>
        </w:rPr>
        <w:t xml:space="preserve"> the invoice. </w:t>
      </w:r>
    </w:p>
    <w:p w14:paraId="1E2FB537" w14:textId="77777777" w:rsidR="00195DCD" w:rsidRPr="00195DCD" w:rsidRDefault="00195DCD" w:rsidP="00695553">
      <w:pPr>
        <w:pStyle w:val="Listeavsnitt"/>
        <w:spacing w:line="276" w:lineRule="auto"/>
        <w:ind w:left="851"/>
        <w:rPr>
          <w:rFonts w:ascii="Arial" w:hAnsi="Arial" w:cs="Arial"/>
          <w:sz w:val="20"/>
          <w:szCs w:val="20"/>
        </w:rPr>
      </w:pPr>
    </w:p>
    <w:p w14:paraId="2747C318" w14:textId="77777777" w:rsidR="00195DCD" w:rsidRDefault="00134951"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All costs and </w:t>
      </w:r>
      <w:r w:rsidR="009C1D72" w:rsidRPr="009C1D72">
        <w:rPr>
          <w:rFonts w:ascii="Arial" w:eastAsia="Arial" w:hAnsi="Arial" w:cs="Arial"/>
          <w:sz w:val="20"/>
          <w:szCs w:val="20"/>
          <w:lang w:val="en-GB" w:bidi="en-GB"/>
        </w:rPr>
        <w:t>expenditures</w:t>
      </w:r>
      <w:r w:rsidRPr="00195DCD">
        <w:rPr>
          <w:rFonts w:ascii="Arial" w:eastAsia="Arial" w:hAnsi="Arial" w:cs="Arial"/>
          <w:sz w:val="20"/>
          <w:szCs w:val="20"/>
          <w:lang w:val="en-GB" w:bidi="en-GB"/>
        </w:rPr>
        <w:t xml:space="preserve"> that the Law Firm pays in advance will be invoiced together with the fee claim. Onward invoicing of </w:t>
      </w:r>
      <w:r w:rsidR="008B6E2A">
        <w:rPr>
          <w:rFonts w:ascii="Arial" w:eastAsia="Arial" w:hAnsi="Arial" w:cs="Arial"/>
          <w:sz w:val="20"/>
          <w:szCs w:val="20"/>
          <w:lang w:val="en-GB" w:bidi="en-GB"/>
        </w:rPr>
        <w:t xml:space="preserve">the </w:t>
      </w:r>
      <w:r w:rsidR="009C1D72" w:rsidRPr="009C1D72">
        <w:rPr>
          <w:rFonts w:ascii="Arial" w:eastAsia="Arial" w:hAnsi="Arial" w:cs="Arial"/>
          <w:sz w:val="20"/>
          <w:szCs w:val="20"/>
          <w:lang w:val="en-GB" w:bidi="en-GB"/>
        </w:rPr>
        <w:t xml:space="preserve">expenditures </w:t>
      </w:r>
      <w:r w:rsidRPr="00195DCD">
        <w:rPr>
          <w:rFonts w:ascii="Arial" w:eastAsia="Arial" w:hAnsi="Arial" w:cs="Arial"/>
          <w:sz w:val="20"/>
          <w:szCs w:val="20"/>
          <w:lang w:val="en-GB" w:bidi="en-GB"/>
        </w:rPr>
        <w:t xml:space="preserve">may incur VAT </w:t>
      </w:r>
      <w:r w:rsidR="008B6E2A">
        <w:rPr>
          <w:rFonts w:ascii="Arial" w:eastAsia="Arial" w:hAnsi="Arial" w:cs="Arial"/>
          <w:sz w:val="20"/>
          <w:szCs w:val="20"/>
          <w:lang w:val="en-GB" w:bidi="en-GB"/>
        </w:rPr>
        <w:t>expenses.</w:t>
      </w:r>
    </w:p>
    <w:p w14:paraId="07142778" w14:textId="77777777" w:rsidR="00195DCD" w:rsidRPr="00195DCD" w:rsidRDefault="00195DCD" w:rsidP="00695553">
      <w:pPr>
        <w:pStyle w:val="Listeavsnitt"/>
        <w:spacing w:line="276" w:lineRule="auto"/>
        <w:ind w:left="851"/>
        <w:rPr>
          <w:rFonts w:ascii="Arial" w:hAnsi="Arial" w:cs="Arial"/>
          <w:sz w:val="20"/>
          <w:szCs w:val="20"/>
        </w:rPr>
      </w:pPr>
    </w:p>
    <w:p w14:paraId="2B3ADF77" w14:textId="77777777" w:rsidR="00695553" w:rsidRPr="00695553" w:rsidRDefault="00134951" w:rsidP="00695553">
      <w:pPr>
        <w:pStyle w:val="Listeavsnitt"/>
        <w:numPr>
          <w:ilvl w:val="1"/>
          <w:numId w:val="18"/>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Interest will be charged on overdue payments pursuant to the provisions of the Norwegian Interest on Overdue Payments Act. </w:t>
      </w:r>
    </w:p>
    <w:p w14:paraId="0C9BACE7" w14:textId="77777777" w:rsidR="0055689E" w:rsidRPr="00695553" w:rsidRDefault="0055689E" w:rsidP="00695553">
      <w:pPr>
        <w:spacing w:line="276" w:lineRule="auto"/>
      </w:pPr>
    </w:p>
    <w:p w14:paraId="4B44D722" w14:textId="77777777" w:rsidR="009E04B0" w:rsidRPr="00195DCD" w:rsidRDefault="009E04B0" w:rsidP="00695553">
      <w:pPr>
        <w:pStyle w:val="Undertittel"/>
        <w:spacing w:line="276" w:lineRule="auto"/>
        <w:jc w:val="left"/>
        <w:rPr>
          <w:rFonts w:ascii="Arial" w:hAnsi="Arial" w:cs="Arial"/>
          <w:sz w:val="20"/>
          <w:szCs w:val="20"/>
        </w:rPr>
      </w:pPr>
      <w:r w:rsidRPr="00195DCD">
        <w:rPr>
          <w:rFonts w:ascii="Arial" w:eastAsia="Arial" w:hAnsi="Arial" w:cs="Arial"/>
          <w:sz w:val="20"/>
          <w:szCs w:val="20"/>
          <w:lang w:val="en-GB" w:bidi="en-GB"/>
        </w:rPr>
        <w:t>4. EXTERNAL COVERAGE OF FEE COSTS</w:t>
      </w:r>
    </w:p>
    <w:p w14:paraId="2AFE1C8D" w14:textId="77777777" w:rsidR="009E04B0" w:rsidRPr="007561B4" w:rsidRDefault="009E04B0" w:rsidP="00695553">
      <w:pPr>
        <w:spacing w:line="276" w:lineRule="auto"/>
        <w:rPr>
          <w:rFonts w:ascii="Arial" w:hAnsi="Arial" w:cs="Arial"/>
          <w:sz w:val="20"/>
          <w:szCs w:val="20"/>
        </w:rPr>
      </w:pPr>
    </w:p>
    <w:p w14:paraId="719A27F5" w14:textId="77777777" w:rsidR="00195DCD" w:rsidRDefault="009E04B0" w:rsidP="00695553">
      <w:pPr>
        <w:pStyle w:val="Listeavsnitt"/>
        <w:numPr>
          <w:ilvl w:val="1"/>
          <w:numId w:val="20"/>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In accordance with the Act on Free Legal Aid, certain cases may be granted the right to legal assistance that is covered by the public authorities (free legal aid). Some types of case always qualify for free legal aid, while other types of cases require that the Client has no income or wealth in excess of NOK 246,000 (single person), NOK 369,000 (married couples, registered partners, etc.) and NOK 100,000 (net wealth). In certain cases, the County Governor may make exceptions from the limits. Further information about free legal aid may be obtained from the County Governor or from our office. The Client is requested to raise the issue of free legal aid coverage with the responsible attorney for a specific assessment.</w:t>
      </w:r>
      <w:r w:rsidR="009B46C1" w:rsidRPr="007561B4">
        <w:rPr>
          <w:rStyle w:val="Fotnotereferanse"/>
          <w:rFonts w:ascii="Arial" w:eastAsia="Arial" w:hAnsi="Arial" w:cs="Arial"/>
          <w:sz w:val="20"/>
          <w:szCs w:val="20"/>
          <w:lang w:val="en-GB" w:bidi="en-GB"/>
        </w:rPr>
        <w:footnoteReference w:id="8"/>
      </w:r>
      <w:r w:rsidRPr="00195DCD">
        <w:rPr>
          <w:rFonts w:ascii="Arial" w:eastAsia="Arial" w:hAnsi="Arial" w:cs="Arial"/>
          <w:sz w:val="20"/>
          <w:szCs w:val="20"/>
          <w:lang w:val="en-GB" w:bidi="en-GB"/>
        </w:rPr>
        <w:t xml:space="preserve"> </w:t>
      </w:r>
    </w:p>
    <w:p w14:paraId="41FBE0EF" w14:textId="77777777" w:rsidR="00195DCD" w:rsidRDefault="00195DCD" w:rsidP="00695553">
      <w:pPr>
        <w:pStyle w:val="Listeavsnitt"/>
        <w:spacing w:line="276" w:lineRule="auto"/>
        <w:ind w:left="851" w:hanging="567"/>
        <w:rPr>
          <w:rFonts w:ascii="Arial" w:hAnsi="Arial" w:cs="Arial"/>
          <w:sz w:val="20"/>
          <w:szCs w:val="20"/>
        </w:rPr>
      </w:pPr>
    </w:p>
    <w:p w14:paraId="76F0FF45" w14:textId="77777777" w:rsidR="00695553" w:rsidRPr="00695553" w:rsidRDefault="009E04B0" w:rsidP="00695553">
      <w:pPr>
        <w:pStyle w:val="Listeavsnitt"/>
        <w:numPr>
          <w:ilvl w:val="1"/>
          <w:numId w:val="20"/>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 Client’s possible legal aid insurance, household insurance, travel insurance or other insurance schemes may cover the costs of legal assistance in certain types of cases, depending on the terms of the insurance policy. The Client is obliged to provide the Law Firm with the necessary information for an assessment of the scope of cover of the insurance policy. The Client is liable to cover any excess or difference between the Law Firm’s fee claim and the amount the insurance company covers. </w:t>
      </w:r>
    </w:p>
    <w:p w14:paraId="167E0117" w14:textId="77777777" w:rsidR="00695553" w:rsidRPr="00695553" w:rsidRDefault="00695553" w:rsidP="00695553">
      <w:pPr>
        <w:spacing w:line="276" w:lineRule="auto"/>
      </w:pPr>
    </w:p>
    <w:p w14:paraId="7AFC8F1E" w14:textId="77777777" w:rsidR="009E04B0" w:rsidRPr="00195DCD" w:rsidRDefault="00400A75" w:rsidP="00695553">
      <w:pPr>
        <w:pStyle w:val="Undertittel"/>
        <w:spacing w:line="276" w:lineRule="auto"/>
        <w:jc w:val="left"/>
        <w:rPr>
          <w:rFonts w:ascii="Arial" w:hAnsi="Arial" w:cs="Arial"/>
          <w:sz w:val="20"/>
          <w:szCs w:val="20"/>
        </w:rPr>
      </w:pPr>
      <w:r w:rsidRPr="00195DCD">
        <w:rPr>
          <w:rFonts w:ascii="Arial" w:eastAsia="Arial" w:hAnsi="Arial" w:cs="Arial"/>
          <w:sz w:val="20"/>
          <w:szCs w:val="20"/>
          <w:lang w:val="en-GB" w:bidi="en-GB"/>
        </w:rPr>
        <w:t>5. THE LAW FIRM’S LIABILITY</w:t>
      </w:r>
      <w:r w:rsidR="009F605C" w:rsidRPr="00195DCD">
        <w:rPr>
          <w:rStyle w:val="Fotnotereferanse"/>
          <w:rFonts w:ascii="Arial" w:eastAsia="Arial" w:hAnsi="Arial" w:cs="Arial"/>
          <w:sz w:val="20"/>
          <w:szCs w:val="20"/>
          <w:lang w:val="en-GB" w:bidi="en-GB"/>
        </w:rPr>
        <w:footnoteReference w:id="9"/>
      </w:r>
    </w:p>
    <w:p w14:paraId="460B61D7" w14:textId="77777777" w:rsidR="009E04B0" w:rsidRPr="007561B4" w:rsidRDefault="009E04B0" w:rsidP="00695553">
      <w:pPr>
        <w:spacing w:line="276" w:lineRule="auto"/>
        <w:rPr>
          <w:rFonts w:ascii="Arial" w:hAnsi="Arial" w:cs="Arial"/>
          <w:sz w:val="20"/>
          <w:szCs w:val="20"/>
        </w:rPr>
      </w:pPr>
    </w:p>
    <w:p w14:paraId="3DB55D55" w14:textId="77777777" w:rsidR="00195DCD" w:rsidRPr="00195DCD" w:rsidRDefault="007561B4" w:rsidP="00695553">
      <w:pPr>
        <w:pStyle w:val="Listeavsnitt"/>
        <w:numPr>
          <w:ilvl w:val="1"/>
          <w:numId w:val="21"/>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The Law Firm is responsible in accordance with the general rules on the professional liability of attorneys and is covered by the statutory security for practising law, which applies without geographical limitation.</w:t>
      </w:r>
      <w:r w:rsidR="00B9023E" w:rsidRPr="007561B4">
        <w:rPr>
          <w:rStyle w:val="Fotnotereferanse"/>
          <w:lang w:val="en-GB" w:bidi="en-GB"/>
        </w:rPr>
        <w:footnoteReference w:id="10"/>
      </w:r>
      <w:r w:rsidRPr="00195DCD">
        <w:rPr>
          <w:rFonts w:ascii="Arial" w:eastAsia="Arial" w:hAnsi="Arial" w:cs="Arial"/>
          <w:sz w:val="20"/>
          <w:szCs w:val="20"/>
          <w:lang w:val="en-GB" w:bidi="en-GB"/>
        </w:rPr>
        <w:t xml:space="preserve"> The Law Firm’s guarantor is </w:t>
      </w:r>
      <w:r w:rsidRPr="00195DCD">
        <w:rPr>
          <w:rFonts w:ascii="Arial" w:eastAsia="Arial" w:hAnsi="Arial" w:cs="Arial"/>
          <w:i/>
          <w:color w:val="808080" w:themeColor="background1" w:themeShade="80"/>
          <w:sz w:val="20"/>
          <w:szCs w:val="20"/>
          <w:lang w:val="en-GB" w:bidi="en-GB"/>
        </w:rPr>
        <w:t>[NAME OF INSURANCE COMPANY]</w:t>
      </w:r>
      <w:r w:rsidRPr="00195DCD">
        <w:rPr>
          <w:rFonts w:ascii="Arial" w:eastAsia="Arial" w:hAnsi="Arial" w:cs="Arial"/>
          <w:i/>
          <w:sz w:val="20"/>
          <w:szCs w:val="20"/>
          <w:lang w:val="en-GB" w:bidi="en-GB"/>
        </w:rPr>
        <w:t>.</w:t>
      </w:r>
    </w:p>
    <w:p w14:paraId="71CA52C1" w14:textId="77777777" w:rsidR="00195DCD" w:rsidRPr="00195DCD" w:rsidRDefault="00195DCD" w:rsidP="00695553">
      <w:pPr>
        <w:pStyle w:val="Listeavsnitt"/>
        <w:spacing w:line="276" w:lineRule="auto"/>
        <w:ind w:left="851"/>
        <w:rPr>
          <w:rFonts w:ascii="Arial" w:hAnsi="Arial" w:cs="Arial"/>
          <w:sz w:val="20"/>
          <w:szCs w:val="20"/>
        </w:rPr>
      </w:pPr>
    </w:p>
    <w:p w14:paraId="79D59DE3" w14:textId="77777777" w:rsidR="00195DCD" w:rsidRDefault="00195DCD" w:rsidP="00695553">
      <w:pPr>
        <w:pStyle w:val="Listeavsnitt"/>
        <w:numPr>
          <w:ilvl w:val="1"/>
          <w:numId w:val="21"/>
        </w:numPr>
        <w:spacing w:line="276" w:lineRule="auto"/>
        <w:ind w:left="851" w:hanging="567"/>
        <w:rPr>
          <w:rFonts w:ascii="Arial" w:hAnsi="Arial" w:cs="Arial"/>
          <w:sz w:val="20"/>
          <w:szCs w:val="20"/>
        </w:rPr>
      </w:pPr>
      <w:r>
        <w:rPr>
          <w:rFonts w:ascii="Arial" w:eastAsia="Arial" w:hAnsi="Arial" w:cs="Arial"/>
          <w:i/>
          <w:color w:val="808080" w:themeColor="background1" w:themeShade="80"/>
          <w:sz w:val="20"/>
          <w:szCs w:val="20"/>
          <w:lang w:val="en-GB" w:bidi="en-GB"/>
        </w:rPr>
        <w:t xml:space="preserve">[EXAMPLE OF FAIR LIMITATION OF LIABILITY] </w:t>
      </w:r>
      <w:r w:rsidR="00493853" w:rsidRPr="00195DCD">
        <w:rPr>
          <w:rFonts w:ascii="Arial" w:eastAsia="Arial" w:hAnsi="Arial" w:cs="Arial"/>
          <w:sz w:val="20"/>
          <w:szCs w:val="20"/>
          <w:lang w:val="en-GB" w:bidi="en-GB"/>
        </w:rPr>
        <w:t>Unless otherwise agreed, the assignment does not include counselling in relation to the legal and tax aspects of the case.</w:t>
      </w:r>
    </w:p>
    <w:p w14:paraId="1316FD56" w14:textId="77777777" w:rsidR="00195DCD" w:rsidRPr="00195DCD" w:rsidRDefault="00195DCD" w:rsidP="00695553">
      <w:pPr>
        <w:pStyle w:val="Listeavsnitt"/>
        <w:spacing w:line="276" w:lineRule="auto"/>
        <w:rPr>
          <w:rFonts w:ascii="Arial" w:hAnsi="Arial" w:cs="Arial"/>
          <w:i/>
          <w:color w:val="808080" w:themeColor="background1" w:themeShade="80"/>
          <w:sz w:val="20"/>
          <w:szCs w:val="20"/>
        </w:rPr>
      </w:pPr>
    </w:p>
    <w:p w14:paraId="7401870F" w14:textId="77777777" w:rsidR="00195DCD" w:rsidRDefault="00195DCD" w:rsidP="00695553">
      <w:pPr>
        <w:pStyle w:val="Listeavsnitt"/>
        <w:numPr>
          <w:ilvl w:val="1"/>
          <w:numId w:val="21"/>
        </w:numPr>
        <w:spacing w:line="276" w:lineRule="auto"/>
        <w:ind w:left="851" w:hanging="567"/>
        <w:rPr>
          <w:rFonts w:ascii="Arial" w:hAnsi="Arial" w:cs="Arial"/>
          <w:sz w:val="20"/>
          <w:szCs w:val="20"/>
        </w:rPr>
      </w:pPr>
      <w:r>
        <w:rPr>
          <w:rFonts w:ascii="Arial" w:eastAsia="Arial" w:hAnsi="Arial" w:cs="Arial"/>
          <w:i/>
          <w:color w:val="808080" w:themeColor="background1" w:themeShade="80"/>
          <w:sz w:val="20"/>
          <w:szCs w:val="20"/>
          <w:lang w:val="en-GB" w:bidi="en-GB"/>
        </w:rPr>
        <w:t xml:space="preserve">[EXAMPLE OF LIMITATION OF LIABILITY AS REGARDS LOSS] </w:t>
      </w:r>
      <w:r w:rsidR="009E04B0" w:rsidRPr="00195DCD">
        <w:rPr>
          <w:rFonts w:ascii="Arial" w:eastAsia="Arial" w:hAnsi="Arial" w:cs="Arial"/>
          <w:sz w:val="20"/>
          <w:szCs w:val="20"/>
          <w:lang w:val="en-GB" w:bidi="en-GB"/>
        </w:rPr>
        <w:t xml:space="preserve">The Law Firm is not liable for indirect losses, including lost profits. </w:t>
      </w:r>
    </w:p>
    <w:p w14:paraId="79A73AD7" w14:textId="77777777" w:rsidR="00195DCD" w:rsidRPr="00195DCD" w:rsidRDefault="00195DCD" w:rsidP="00695553">
      <w:pPr>
        <w:pStyle w:val="Listeavsnitt"/>
        <w:spacing w:line="276" w:lineRule="auto"/>
        <w:rPr>
          <w:rFonts w:ascii="Arial" w:hAnsi="Arial" w:cs="Arial"/>
          <w:sz w:val="20"/>
          <w:szCs w:val="20"/>
        </w:rPr>
      </w:pPr>
    </w:p>
    <w:p w14:paraId="1F8935A1" w14:textId="77777777" w:rsidR="00195DCD" w:rsidRDefault="009E04B0" w:rsidP="00695553">
      <w:pPr>
        <w:pStyle w:val="Listeavsnitt"/>
        <w:numPr>
          <w:ilvl w:val="1"/>
          <w:numId w:val="21"/>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 Law Firm is not liable for errors made by advisers to whom the Law Firm has referred or for subcontractors to whom the Law Firm has entrusted parts of the performance of the assignment in agreement with the Client. </w:t>
      </w:r>
    </w:p>
    <w:p w14:paraId="6DDB2E23" w14:textId="77777777" w:rsidR="00195DCD" w:rsidRPr="00195DCD" w:rsidRDefault="00195DCD" w:rsidP="00695553">
      <w:pPr>
        <w:pStyle w:val="Listeavsnitt"/>
        <w:spacing w:line="276" w:lineRule="auto"/>
        <w:rPr>
          <w:rFonts w:ascii="Arial" w:hAnsi="Arial" w:cs="Arial"/>
          <w:sz w:val="20"/>
          <w:szCs w:val="20"/>
        </w:rPr>
      </w:pPr>
    </w:p>
    <w:p w14:paraId="0C85EDF4" w14:textId="77777777" w:rsidR="00195DCD" w:rsidRDefault="009F605C" w:rsidP="00695553">
      <w:pPr>
        <w:pStyle w:val="Listeavsnitt"/>
        <w:numPr>
          <w:ilvl w:val="1"/>
          <w:numId w:val="21"/>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 Law Firm is not liable for any loss as a result of the outcome of the case not corresponding to the assessment the Law Firm has made in advance of the possible outcome of the case. </w:t>
      </w:r>
    </w:p>
    <w:p w14:paraId="09065939" w14:textId="77777777" w:rsidR="00195DCD" w:rsidRPr="00195DCD" w:rsidRDefault="00195DCD" w:rsidP="00695553">
      <w:pPr>
        <w:pStyle w:val="Listeavsnitt"/>
        <w:spacing w:line="276" w:lineRule="auto"/>
        <w:rPr>
          <w:rFonts w:ascii="Arial" w:hAnsi="Arial" w:cs="Arial"/>
          <w:sz w:val="20"/>
          <w:szCs w:val="20"/>
        </w:rPr>
      </w:pPr>
    </w:p>
    <w:p w14:paraId="5399A04B" w14:textId="77777777" w:rsidR="00695553" w:rsidRDefault="009E04B0" w:rsidP="00695553">
      <w:pPr>
        <w:pStyle w:val="Listeavsnitt"/>
        <w:numPr>
          <w:ilvl w:val="1"/>
          <w:numId w:val="21"/>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The Law Firm is not liable for any loss of managed Client funds as a result of bankruptcy or other circumstances on the part of the bank. The Law Firm points out that the banks’ guarantee fund does not guarantee more than NOK 2 million in deposits per depositor (Law </w:t>
      </w:r>
      <w:r w:rsidRPr="00195DCD">
        <w:rPr>
          <w:rFonts w:ascii="Arial" w:eastAsia="Arial" w:hAnsi="Arial" w:cs="Arial"/>
          <w:sz w:val="20"/>
          <w:szCs w:val="20"/>
          <w:lang w:val="en-GB" w:bidi="en-GB"/>
        </w:rPr>
        <w:lastRenderedPageBreak/>
        <w:t xml:space="preserve">Firm) per bank. Only by special agreement the Law Firm take measures that can increase the degree of guarantee coverage for the Client’s funds. </w:t>
      </w:r>
    </w:p>
    <w:p w14:paraId="47A74D1D" w14:textId="77777777" w:rsidR="0055689E" w:rsidRDefault="0055689E" w:rsidP="0055689E">
      <w:pPr>
        <w:pStyle w:val="Listeavsnitt"/>
        <w:spacing w:line="276" w:lineRule="auto"/>
        <w:ind w:left="851"/>
        <w:rPr>
          <w:rFonts w:ascii="Arial" w:hAnsi="Arial" w:cs="Arial"/>
          <w:sz w:val="20"/>
          <w:szCs w:val="20"/>
        </w:rPr>
      </w:pPr>
    </w:p>
    <w:p w14:paraId="784632A4" w14:textId="77777777" w:rsidR="0055689E" w:rsidRPr="00695553" w:rsidRDefault="0055689E" w:rsidP="0055689E">
      <w:pPr>
        <w:pStyle w:val="Listeavsnitt"/>
        <w:spacing w:line="276" w:lineRule="auto"/>
        <w:ind w:left="851"/>
        <w:rPr>
          <w:rFonts w:ascii="Arial" w:hAnsi="Arial" w:cs="Arial"/>
          <w:sz w:val="20"/>
          <w:szCs w:val="20"/>
        </w:rPr>
      </w:pPr>
    </w:p>
    <w:p w14:paraId="3811A701" w14:textId="77777777" w:rsidR="009E04B0" w:rsidRPr="00195DCD" w:rsidRDefault="00400A75" w:rsidP="00695553">
      <w:pPr>
        <w:pStyle w:val="Undertittel"/>
        <w:spacing w:line="276" w:lineRule="auto"/>
        <w:jc w:val="left"/>
        <w:rPr>
          <w:rFonts w:ascii="Arial" w:hAnsi="Arial" w:cs="Arial"/>
          <w:sz w:val="20"/>
          <w:szCs w:val="20"/>
        </w:rPr>
      </w:pPr>
      <w:r w:rsidRPr="00195DCD">
        <w:rPr>
          <w:rFonts w:ascii="Arial" w:eastAsia="Arial" w:hAnsi="Arial" w:cs="Arial"/>
          <w:sz w:val="20"/>
          <w:szCs w:val="20"/>
          <w:lang w:val="en-GB" w:bidi="en-GB"/>
        </w:rPr>
        <w:t>6. PROCESSING INFORMATION</w:t>
      </w:r>
    </w:p>
    <w:p w14:paraId="18409AB9" w14:textId="77777777" w:rsidR="009E04B0" w:rsidRPr="007561B4" w:rsidRDefault="009E04B0" w:rsidP="00695553">
      <w:pPr>
        <w:spacing w:line="276" w:lineRule="auto"/>
        <w:rPr>
          <w:rFonts w:ascii="Arial" w:hAnsi="Arial" w:cs="Arial"/>
          <w:sz w:val="20"/>
          <w:szCs w:val="20"/>
        </w:rPr>
      </w:pPr>
    </w:p>
    <w:p w14:paraId="017C5805" w14:textId="77777777" w:rsidR="00195DCD" w:rsidRDefault="009E04B0" w:rsidP="00695553">
      <w:pPr>
        <w:pStyle w:val="Listeavsnitt"/>
        <w:numPr>
          <w:ilvl w:val="1"/>
          <w:numId w:val="22"/>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Attorneys in the Law Firm are prohibited from disclosing trusted </w:t>
      </w:r>
      <w:r w:rsidR="008B6E2A">
        <w:rPr>
          <w:rFonts w:ascii="Arial" w:eastAsia="Arial" w:hAnsi="Arial" w:cs="Arial"/>
          <w:sz w:val="20"/>
          <w:szCs w:val="20"/>
          <w:lang w:val="en-GB" w:bidi="en-GB"/>
        </w:rPr>
        <w:t>information</w:t>
      </w:r>
      <w:r w:rsidRPr="00195DCD">
        <w:rPr>
          <w:rFonts w:ascii="Arial" w:eastAsia="Arial" w:hAnsi="Arial" w:cs="Arial"/>
          <w:sz w:val="20"/>
          <w:szCs w:val="20"/>
          <w:lang w:val="en-GB" w:bidi="en-GB"/>
        </w:rPr>
        <w:t>.</w:t>
      </w:r>
      <w:r w:rsidR="00F61364" w:rsidRPr="007561B4">
        <w:rPr>
          <w:rStyle w:val="Fotnotereferanse"/>
          <w:rFonts w:ascii="Arial" w:eastAsia="Arial" w:hAnsi="Arial" w:cs="Arial"/>
          <w:sz w:val="20"/>
          <w:szCs w:val="20"/>
          <w:lang w:val="en-GB" w:bidi="en-GB"/>
        </w:rPr>
        <w:footnoteReference w:id="11"/>
      </w:r>
      <w:r w:rsidRPr="00195DCD">
        <w:rPr>
          <w:rFonts w:ascii="Arial" w:eastAsia="Arial" w:hAnsi="Arial" w:cs="Arial"/>
          <w:sz w:val="20"/>
          <w:szCs w:val="20"/>
          <w:lang w:val="en-GB" w:bidi="en-GB"/>
        </w:rPr>
        <w:t xml:space="preserve"> In addition, the attorneys are obliged to keep information beyond this confidential.</w:t>
      </w:r>
      <w:r w:rsidR="00F61364" w:rsidRPr="007561B4">
        <w:rPr>
          <w:rStyle w:val="Fotnotereferanse"/>
          <w:rFonts w:ascii="Arial" w:eastAsia="Arial" w:hAnsi="Arial" w:cs="Arial"/>
          <w:sz w:val="20"/>
          <w:szCs w:val="20"/>
          <w:lang w:val="en-GB" w:bidi="en-GB"/>
        </w:rPr>
        <w:footnoteReference w:id="12"/>
      </w:r>
      <w:r w:rsidRPr="00195DCD">
        <w:rPr>
          <w:rFonts w:ascii="Arial" w:eastAsia="Arial" w:hAnsi="Arial" w:cs="Arial"/>
          <w:sz w:val="20"/>
          <w:szCs w:val="20"/>
          <w:lang w:val="en-GB" w:bidi="en-GB"/>
        </w:rPr>
        <w:t xml:space="preserve"> In certain statutory cases, exemptions from the duty of confidentiality apply.</w:t>
      </w:r>
      <w:r w:rsidR="00134951" w:rsidRPr="007561B4">
        <w:rPr>
          <w:rStyle w:val="Fotnotereferanse"/>
          <w:rFonts w:ascii="Arial" w:eastAsia="Arial" w:hAnsi="Arial" w:cs="Arial"/>
          <w:sz w:val="20"/>
          <w:szCs w:val="20"/>
          <w:lang w:val="en-GB" w:bidi="en-GB"/>
        </w:rPr>
        <w:footnoteReference w:id="13"/>
      </w:r>
      <w:r w:rsidRPr="00195DCD">
        <w:rPr>
          <w:rFonts w:ascii="Arial" w:eastAsia="Arial" w:hAnsi="Arial" w:cs="Arial"/>
          <w:sz w:val="20"/>
          <w:szCs w:val="20"/>
          <w:lang w:val="en-GB" w:bidi="en-GB"/>
        </w:rPr>
        <w:t xml:space="preserve"> </w:t>
      </w:r>
    </w:p>
    <w:p w14:paraId="1A495CC2" w14:textId="77777777" w:rsidR="00195DCD" w:rsidRDefault="00195DCD" w:rsidP="00695553">
      <w:pPr>
        <w:pStyle w:val="Listeavsnitt"/>
        <w:spacing w:line="276" w:lineRule="auto"/>
        <w:ind w:left="851"/>
        <w:rPr>
          <w:rFonts w:ascii="Arial" w:hAnsi="Arial" w:cs="Arial"/>
          <w:sz w:val="20"/>
          <w:szCs w:val="20"/>
        </w:rPr>
      </w:pPr>
    </w:p>
    <w:p w14:paraId="0B784703" w14:textId="77777777" w:rsidR="00195DCD" w:rsidRDefault="009E04B0" w:rsidP="00695553">
      <w:pPr>
        <w:pStyle w:val="Listeavsnitt"/>
        <w:numPr>
          <w:ilvl w:val="1"/>
          <w:numId w:val="22"/>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Unless otherwise agreed, the Law Firm’s attorneys have the right to share information with other employees of the firm as far as necessary. The Law Firm’s other employees are subject to the same duty of confidentiality as the attorneys.</w:t>
      </w:r>
      <w:r w:rsidR="00134951" w:rsidRPr="007561B4">
        <w:rPr>
          <w:rStyle w:val="Fotnotereferanse"/>
          <w:rFonts w:ascii="Arial" w:eastAsia="Arial" w:hAnsi="Arial" w:cs="Arial"/>
          <w:sz w:val="20"/>
          <w:szCs w:val="20"/>
          <w:lang w:val="en-GB" w:bidi="en-GB"/>
        </w:rPr>
        <w:footnoteReference w:id="14"/>
      </w:r>
      <w:r w:rsidRPr="00195DCD">
        <w:rPr>
          <w:rFonts w:ascii="Arial" w:eastAsia="Arial" w:hAnsi="Arial" w:cs="Arial"/>
          <w:sz w:val="20"/>
          <w:szCs w:val="20"/>
          <w:lang w:val="en-GB" w:bidi="en-GB"/>
        </w:rPr>
        <w:t xml:space="preserve"> </w:t>
      </w:r>
    </w:p>
    <w:p w14:paraId="2048F67A" w14:textId="77777777" w:rsidR="00195DCD" w:rsidRPr="00195DCD" w:rsidRDefault="00195DCD" w:rsidP="00695553">
      <w:pPr>
        <w:pStyle w:val="Listeavsnitt"/>
        <w:spacing w:line="276" w:lineRule="auto"/>
        <w:rPr>
          <w:rFonts w:ascii="Arial" w:hAnsi="Arial" w:cs="Arial"/>
          <w:sz w:val="20"/>
          <w:szCs w:val="20"/>
        </w:rPr>
      </w:pPr>
    </w:p>
    <w:p w14:paraId="2A2460E1" w14:textId="77777777" w:rsidR="00195DCD" w:rsidRDefault="00FF1FD0" w:rsidP="00695553">
      <w:pPr>
        <w:pStyle w:val="Listeavsnitt"/>
        <w:numPr>
          <w:ilvl w:val="1"/>
          <w:numId w:val="22"/>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To the extent necessary for the fulfilment of the assignment, the Law Firm will process personal data, including special categories of personal data if necessary</w:t>
      </w:r>
      <w:r w:rsidR="00EF25A7">
        <w:rPr>
          <w:rFonts w:ascii="Arial" w:eastAsia="Arial" w:hAnsi="Arial" w:cs="Arial"/>
          <w:sz w:val="20"/>
          <w:szCs w:val="20"/>
          <w:lang w:val="en-GB" w:bidi="en-GB"/>
        </w:rPr>
        <w:t>,</w:t>
      </w:r>
      <w:r w:rsidRPr="00195DCD">
        <w:rPr>
          <w:rFonts w:ascii="Arial" w:eastAsia="Arial" w:hAnsi="Arial" w:cs="Arial"/>
          <w:sz w:val="20"/>
          <w:szCs w:val="20"/>
          <w:lang w:val="en-GB" w:bidi="en-GB"/>
        </w:rPr>
        <w:t xml:space="preserve"> in accordance with the Personal Data Act and other regulations. Other parties, such as opponents, courts and public agencies will only have access to the personal data to the extent this is necessary for the assignment. The Client has the right to access information about the processed information, as well as the right to demand the correction of defective information. Pursuant to the Personal Data Act, the data controller is the Law Firm’s general manager and in case of questions about our processing of personal data, a responsible attorney can be contacted. Refer also to the processing of personal data in the Law Firm’s privacy statement: </w:t>
      </w:r>
      <w:r w:rsidR="00195DCD" w:rsidRPr="00195DCD">
        <w:rPr>
          <w:rFonts w:ascii="Arial" w:eastAsia="Arial" w:hAnsi="Arial" w:cs="Arial"/>
          <w:i/>
          <w:color w:val="808080" w:themeColor="background1" w:themeShade="80"/>
          <w:sz w:val="20"/>
          <w:szCs w:val="20"/>
          <w:lang w:val="en-GB" w:bidi="en-GB"/>
        </w:rPr>
        <w:t xml:space="preserve">[LINK TO THE PRIVACY STATEMENT ON THE LAW FIRM’S WEBSITE]. </w:t>
      </w:r>
    </w:p>
    <w:p w14:paraId="50A55C8F" w14:textId="77777777" w:rsidR="00195DCD" w:rsidRPr="00195DCD" w:rsidRDefault="00195DCD" w:rsidP="00695553">
      <w:pPr>
        <w:pStyle w:val="Listeavsnitt"/>
        <w:spacing w:line="276" w:lineRule="auto"/>
        <w:rPr>
          <w:rFonts w:ascii="Arial" w:hAnsi="Arial" w:cs="Arial"/>
          <w:sz w:val="20"/>
          <w:szCs w:val="20"/>
        </w:rPr>
      </w:pPr>
    </w:p>
    <w:p w14:paraId="72DCC0B6" w14:textId="77777777" w:rsidR="00195DCD" w:rsidRDefault="009E04B0" w:rsidP="00695553">
      <w:pPr>
        <w:pStyle w:val="Listeavsnitt"/>
        <w:numPr>
          <w:ilvl w:val="1"/>
          <w:numId w:val="22"/>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The Law Firm points out that electronic data communication generally suffers from weaknesses, which means that unauthorised persons under the given conditions may gain access. To the extent that confidentiality is required, security measures (including encryption and censor strips) may be taken to prevent unauthorised access such communication.</w:t>
      </w:r>
      <w:r w:rsidR="00325875" w:rsidRPr="007561B4">
        <w:rPr>
          <w:rStyle w:val="Fotnotereferanse"/>
          <w:rFonts w:ascii="Arial" w:eastAsia="Arial" w:hAnsi="Arial" w:cs="Arial"/>
          <w:sz w:val="20"/>
          <w:szCs w:val="20"/>
          <w:lang w:val="en-GB" w:bidi="en-GB"/>
        </w:rPr>
        <w:footnoteReference w:id="15"/>
      </w:r>
      <w:r w:rsidRPr="00195DCD">
        <w:rPr>
          <w:rFonts w:ascii="Arial" w:eastAsia="Arial" w:hAnsi="Arial" w:cs="Arial"/>
          <w:sz w:val="20"/>
          <w:szCs w:val="20"/>
          <w:lang w:val="en-GB" w:bidi="en-GB"/>
        </w:rPr>
        <w:t xml:space="preserve"> As an aspect of the assessment of whether confidentiality is necessary, emphasis will be placed on the Client’s transmission of unsecured electronic information to the Law Firm.  </w:t>
      </w:r>
    </w:p>
    <w:p w14:paraId="19D9F7B6" w14:textId="77777777" w:rsidR="00195DCD" w:rsidRPr="00195DCD" w:rsidRDefault="00195DCD" w:rsidP="00695553">
      <w:pPr>
        <w:pStyle w:val="Listeavsnitt"/>
        <w:spacing w:line="276" w:lineRule="auto"/>
        <w:rPr>
          <w:rFonts w:ascii="Arial" w:hAnsi="Arial" w:cs="Arial"/>
          <w:sz w:val="20"/>
          <w:szCs w:val="20"/>
        </w:rPr>
      </w:pPr>
    </w:p>
    <w:p w14:paraId="5A00C2AE" w14:textId="77777777" w:rsidR="00695553" w:rsidRPr="00695553" w:rsidRDefault="009E04B0" w:rsidP="00695553">
      <w:pPr>
        <w:pStyle w:val="Listeavsnitt"/>
        <w:numPr>
          <w:ilvl w:val="1"/>
          <w:numId w:val="22"/>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At the conclusion of the assignment, any original documents in the case will be returned to the Client or shredded according to further agreement. The Law Firm is obliged to store certain documents and information at the end of the assignment.</w:t>
      </w:r>
      <w:r w:rsidR="00FA38C4" w:rsidRPr="007561B4">
        <w:rPr>
          <w:rStyle w:val="Fotnotereferanse"/>
          <w:rFonts w:ascii="Arial" w:eastAsia="Arial" w:hAnsi="Arial" w:cs="Arial"/>
          <w:sz w:val="20"/>
          <w:szCs w:val="20"/>
          <w:lang w:val="en-GB" w:bidi="en-GB"/>
        </w:rPr>
        <w:footnoteReference w:id="16"/>
      </w:r>
      <w:r w:rsidRPr="00195DCD">
        <w:rPr>
          <w:rFonts w:ascii="Arial" w:eastAsia="Arial" w:hAnsi="Arial" w:cs="Arial"/>
          <w:sz w:val="20"/>
          <w:szCs w:val="20"/>
          <w:lang w:val="en-GB" w:bidi="en-GB"/>
        </w:rPr>
        <w:t xml:space="preserve"> The Law Firm may also retain copies of other case documents at the end of the assignment, within the framework of the law. Copies may be provided for a fee. </w:t>
      </w:r>
    </w:p>
    <w:p w14:paraId="6A396493" w14:textId="77777777" w:rsidR="00695553" w:rsidRDefault="00695553" w:rsidP="00695553">
      <w:pPr>
        <w:pStyle w:val="Undertittel"/>
        <w:spacing w:line="276" w:lineRule="auto"/>
        <w:jc w:val="left"/>
        <w:rPr>
          <w:rFonts w:ascii="Arial" w:hAnsi="Arial" w:cs="Arial"/>
          <w:sz w:val="20"/>
          <w:szCs w:val="20"/>
        </w:rPr>
      </w:pPr>
    </w:p>
    <w:p w14:paraId="36D453AA" w14:textId="77777777" w:rsidR="009E04B0" w:rsidRPr="00195DCD" w:rsidRDefault="00400A75" w:rsidP="00695553">
      <w:pPr>
        <w:pStyle w:val="Undertittel"/>
        <w:spacing w:line="276" w:lineRule="auto"/>
        <w:jc w:val="left"/>
        <w:rPr>
          <w:rFonts w:ascii="Arial" w:hAnsi="Arial" w:cs="Arial"/>
          <w:sz w:val="20"/>
          <w:szCs w:val="20"/>
        </w:rPr>
      </w:pPr>
      <w:r w:rsidRPr="00195DCD">
        <w:rPr>
          <w:rFonts w:ascii="Arial" w:eastAsia="Arial" w:hAnsi="Arial" w:cs="Arial"/>
          <w:sz w:val="20"/>
          <w:szCs w:val="20"/>
          <w:lang w:val="en-GB" w:bidi="en-GB"/>
        </w:rPr>
        <w:t xml:space="preserve">7. COMPLAINTS </w:t>
      </w:r>
    </w:p>
    <w:p w14:paraId="0A9A68B1" w14:textId="77777777" w:rsidR="009E04B0" w:rsidRPr="007561B4" w:rsidRDefault="009E04B0" w:rsidP="00695553">
      <w:pPr>
        <w:spacing w:line="276" w:lineRule="auto"/>
        <w:rPr>
          <w:rFonts w:ascii="Arial" w:hAnsi="Arial" w:cs="Arial"/>
          <w:sz w:val="20"/>
          <w:szCs w:val="20"/>
        </w:rPr>
      </w:pPr>
    </w:p>
    <w:p w14:paraId="60AF1029" w14:textId="77777777" w:rsidR="00195DCD" w:rsidRDefault="009E04B0" w:rsidP="00695553">
      <w:pPr>
        <w:pStyle w:val="Listeavsnitt"/>
        <w:numPr>
          <w:ilvl w:val="1"/>
          <w:numId w:val="23"/>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t xml:space="preserve">If the Client is dissatisfied with the performance of the assignment or the fee calculation, the Client is requested to raise this matter immediately with the responsible attorney or the general manager. The Law Firm will immediately consider the complaint. </w:t>
      </w:r>
    </w:p>
    <w:p w14:paraId="370BE823" w14:textId="77777777" w:rsidR="00195DCD" w:rsidRDefault="00195DCD" w:rsidP="00695553">
      <w:pPr>
        <w:pStyle w:val="Listeavsnitt"/>
        <w:spacing w:line="276" w:lineRule="auto"/>
        <w:ind w:left="851"/>
        <w:rPr>
          <w:rFonts w:ascii="Arial" w:hAnsi="Arial" w:cs="Arial"/>
          <w:sz w:val="20"/>
          <w:szCs w:val="20"/>
        </w:rPr>
      </w:pPr>
    </w:p>
    <w:p w14:paraId="5ED54820" w14:textId="77777777" w:rsidR="00195DCD" w:rsidRDefault="009E04B0" w:rsidP="00695553">
      <w:pPr>
        <w:pStyle w:val="Listeavsnitt"/>
        <w:numPr>
          <w:ilvl w:val="1"/>
          <w:numId w:val="23"/>
        </w:numPr>
        <w:spacing w:line="276" w:lineRule="auto"/>
        <w:ind w:left="851" w:hanging="567"/>
        <w:rPr>
          <w:rFonts w:ascii="Arial" w:hAnsi="Arial" w:cs="Arial"/>
          <w:sz w:val="20"/>
          <w:szCs w:val="20"/>
        </w:rPr>
      </w:pPr>
      <w:r w:rsidRPr="00195DCD">
        <w:rPr>
          <w:rFonts w:ascii="Arial" w:eastAsia="Arial" w:hAnsi="Arial" w:cs="Arial"/>
          <w:sz w:val="20"/>
          <w:szCs w:val="20"/>
          <w:lang w:val="en-GB" w:bidi="en-GB"/>
        </w:rPr>
        <w:lastRenderedPageBreak/>
        <w:t>The Norwegian Bar Association’s disciplinary committee deals with complaints that the attorney must have acted in violation of the Code of Conduct for Lawyers or has demanded a high fee. As a general rule, the complaint must be made within six months of the complainant becoming aware of or should have become aware of the circumstances on which the complaint is based. The disciplinary committee has the authority to give criticism, a reprimand and a warning to the attorney and to reduce the fee to the Client. The decision of the disciplinary committees may be appealed to the Disciplinary Board. More information can be provided by contacting the Norwegian Bar Association’s secretariat or visiting the website</w:t>
      </w:r>
      <w:hyperlink r:id="rId7" w:history="1">
        <w:r w:rsidR="007957DF" w:rsidRPr="00195DCD">
          <w:rPr>
            <w:rStyle w:val="Hyperkobling"/>
            <w:rFonts w:ascii="Arial" w:eastAsia="Arial" w:hAnsi="Arial" w:cs="Arial"/>
            <w:sz w:val="20"/>
            <w:szCs w:val="20"/>
            <w:lang w:val="en-GB" w:bidi="en-GB"/>
          </w:rPr>
          <w:t>www.advokatenhjelperdeg.no</w:t>
        </w:r>
      </w:hyperlink>
      <w:r w:rsidRPr="00195DCD">
        <w:rPr>
          <w:rFonts w:ascii="Arial" w:eastAsia="Arial" w:hAnsi="Arial" w:cs="Arial"/>
          <w:sz w:val="20"/>
          <w:szCs w:val="20"/>
          <w:lang w:val="en-GB" w:bidi="en-GB"/>
        </w:rPr>
        <w:t xml:space="preserve">. </w:t>
      </w:r>
    </w:p>
    <w:p w14:paraId="373CE36B" w14:textId="77777777" w:rsidR="00195DCD" w:rsidRPr="00195DCD" w:rsidRDefault="00195DCD" w:rsidP="00695553">
      <w:pPr>
        <w:pStyle w:val="Listeavsnitt"/>
        <w:spacing w:line="276" w:lineRule="auto"/>
        <w:rPr>
          <w:rFonts w:ascii="Arial" w:hAnsi="Arial" w:cs="Arial"/>
          <w:sz w:val="20"/>
          <w:szCs w:val="20"/>
        </w:rPr>
      </w:pPr>
    </w:p>
    <w:p w14:paraId="35ED5A03" w14:textId="77777777" w:rsidR="00695553" w:rsidRPr="00695553" w:rsidRDefault="00195DCD" w:rsidP="00695553">
      <w:pPr>
        <w:pStyle w:val="Listeavsnitt"/>
        <w:numPr>
          <w:ilvl w:val="1"/>
          <w:numId w:val="23"/>
        </w:numPr>
        <w:spacing w:line="276" w:lineRule="auto"/>
        <w:ind w:left="851" w:hanging="567"/>
        <w:rPr>
          <w:rFonts w:ascii="Arial" w:hAnsi="Arial" w:cs="Arial"/>
          <w:sz w:val="20"/>
          <w:szCs w:val="20"/>
        </w:rPr>
      </w:pPr>
      <w:r>
        <w:rPr>
          <w:rFonts w:ascii="Arial" w:eastAsia="Arial" w:hAnsi="Arial" w:cs="Arial"/>
          <w:sz w:val="20"/>
          <w:szCs w:val="20"/>
          <w:lang w:val="en-GB" w:bidi="en-GB"/>
        </w:rPr>
        <w:t xml:space="preserve">Disputes related to the assignment agreement are settled under Norwegian law and may only be brought before the Norwegian courts. </w:t>
      </w:r>
    </w:p>
    <w:p w14:paraId="6DA2EC45" w14:textId="77777777" w:rsidR="00695553" w:rsidRDefault="00695553" w:rsidP="00695553">
      <w:pPr>
        <w:pStyle w:val="Undertittel"/>
        <w:spacing w:line="276" w:lineRule="auto"/>
        <w:jc w:val="left"/>
        <w:rPr>
          <w:rFonts w:ascii="Arial" w:hAnsi="Arial" w:cs="Arial"/>
          <w:sz w:val="20"/>
          <w:szCs w:val="20"/>
        </w:rPr>
      </w:pPr>
    </w:p>
    <w:p w14:paraId="1E4F0256" w14:textId="77777777" w:rsidR="009E04B0" w:rsidRPr="00195DCD" w:rsidRDefault="00400A75" w:rsidP="00695553">
      <w:pPr>
        <w:pStyle w:val="Undertittel"/>
        <w:spacing w:line="276" w:lineRule="auto"/>
        <w:jc w:val="left"/>
        <w:rPr>
          <w:rFonts w:ascii="Arial" w:hAnsi="Arial" w:cs="Arial"/>
          <w:sz w:val="20"/>
          <w:szCs w:val="20"/>
        </w:rPr>
      </w:pPr>
      <w:r w:rsidRPr="00195DCD">
        <w:rPr>
          <w:rFonts w:ascii="Arial" w:eastAsia="Arial" w:hAnsi="Arial" w:cs="Arial"/>
          <w:sz w:val="20"/>
          <w:szCs w:val="20"/>
          <w:lang w:val="en-GB" w:bidi="en-GB"/>
        </w:rPr>
        <w:t xml:space="preserve">8. REVISION OF TERMS AND CONDITIONS  </w:t>
      </w:r>
    </w:p>
    <w:p w14:paraId="58196D0A" w14:textId="77777777" w:rsidR="009E04B0" w:rsidRPr="007561B4" w:rsidRDefault="009E04B0" w:rsidP="00695553">
      <w:pPr>
        <w:spacing w:line="276" w:lineRule="auto"/>
        <w:rPr>
          <w:rFonts w:ascii="Arial" w:hAnsi="Arial" w:cs="Arial"/>
          <w:sz w:val="20"/>
          <w:szCs w:val="20"/>
        </w:rPr>
      </w:pPr>
    </w:p>
    <w:p w14:paraId="627903A1" w14:textId="77777777" w:rsidR="009E04B0" w:rsidRPr="007561B4" w:rsidRDefault="009E04B0" w:rsidP="00695553">
      <w:pPr>
        <w:spacing w:line="276" w:lineRule="auto"/>
        <w:ind w:left="284"/>
        <w:rPr>
          <w:rFonts w:ascii="Arial" w:hAnsi="Arial" w:cs="Arial"/>
          <w:sz w:val="20"/>
          <w:szCs w:val="20"/>
        </w:rPr>
      </w:pPr>
      <w:r w:rsidRPr="007561B4">
        <w:rPr>
          <w:rFonts w:ascii="Arial" w:eastAsia="Arial" w:hAnsi="Arial" w:cs="Arial"/>
          <w:sz w:val="20"/>
          <w:szCs w:val="20"/>
          <w:lang w:val="en-GB" w:bidi="en-GB"/>
        </w:rPr>
        <w:t xml:space="preserve">The general terms and conditions of the assignment are normally revised once a year and otherwise when needed. Changes to the Client’s disadvantage, which are not necessary due to binding regulations, can only become effective after one month’s notice. </w:t>
      </w:r>
    </w:p>
    <w:p w14:paraId="578D2003" w14:textId="77777777" w:rsidR="009E04B0" w:rsidRPr="008F70D5" w:rsidRDefault="009E04B0" w:rsidP="00695553">
      <w:pPr>
        <w:spacing w:line="276" w:lineRule="auto"/>
        <w:rPr>
          <w:rFonts w:ascii="Arial" w:hAnsi="Arial" w:cs="Arial"/>
          <w:sz w:val="20"/>
          <w:szCs w:val="20"/>
        </w:rPr>
      </w:pPr>
    </w:p>
    <w:p w14:paraId="5C11FBD7" w14:textId="77777777" w:rsidR="00C12A1D" w:rsidRPr="008F70D5" w:rsidRDefault="00C12A1D" w:rsidP="00695553">
      <w:pPr>
        <w:spacing w:line="276" w:lineRule="auto"/>
        <w:rPr>
          <w:rFonts w:ascii="Arial" w:hAnsi="Arial" w:cs="Arial"/>
          <w:sz w:val="20"/>
          <w:szCs w:val="20"/>
        </w:rPr>
      </w:pPr>
    </w:p>
    <w:sectPr w:rsidR="00C12A1D" w:rsidRPr="008F70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5261D" w14:textId="77777777" w:rsidR="001847FA" w:rsidRDefault="001847FA">
      <w:r>
        <w:separator/>
      </w:r>
    </w:p>
  </w:endnote>
  <w:endnote w:type="continuationSeparator" w:id="0">
    <w:p w14:paraId="1284E5A4" w14:textId="77777777" w:rsidR="001847FA" w:rsidRDefault="0018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73E66" w14:textId="77777777" w:rsidR="001847FA" w:rsidRDefault="001847FA">
      <w:r>
        <w:separator/>
      </w:r>
    </w:p>
  </w:footnote>
  <w:footnote w:type="continuationSeparator" w:id="0">
    <w:p w14:paraId="241D249A" w14:textId="77777777" w:rsidR="001847FA" w:rsidRDefault="001847FA">
      <w:r>
        <w:continuationSeparator/>
      </w:r>
    </w:p>
  </w:footnote>
  <w:footnote w:id="1">
    <w:p w14:paraId="7740BD25" w14:textId="77777777" w:rsidR="00344991" w:rsidRPr="00D60318" w:rsidRDefault="00344991" w:rsidP="00D60318">
      <w:pPr>
        <w:pStyle w:val="Fotnotetekst"/>
        <w:ind w:left="284" w:hanging="284"/>
        <w:rPr>
          <w:rFonts w:ascii="Arial" w:hAnsi="Arial" w:cs="Arial"/>
          <w:sz w:val="18"/>
        </w:rPr>
      </w:pPr>
      <w:r w:rsidRPr="008F70D5">
        <w:rPr>
          <w:rStyle w:val="Fotnotereferanse"/>
          <w:rFonts w:ascii="Arial" w:eastAsia="Arial" w:hAnsi="Arial" w:cs="Arial"/>
          <w:lang w:val="en-GB" w:bidi="en-GB"/>
        </w:rPr>
        <w:footnoteRef/>
      </w:r>
      <w:r w:rsidR="00D60318">
        <w:rPr>
          <w:rFonts w:ascii="Arial" w:eastAsia="Arial" w:hAnsi="Arial" w:cs="Arial"/>
          <w:lang w:val="en-GB" w:bidi="en-GB"/>
        </w:rPr>
        <w:t xml:space="preserve"> </w:t>
      </w:r>
      <w:r w:rsidR="00D60318">
        <w:rPr>
          <w:rFonts w:ascii="Arial" w:eastAsia="Arial" w:hAnsi="Arial" w:cs="Arial"/>
          <w:lang w:val="en-GB" w:bidi="en-GB"/>
        </w:rPr>
        <w:tab/>
      </w:r>
      <w:r w:rsidR="000A7192" w:rsidRPr="00D60318">
        <w:rPr>
          <w:rFonts w:ascii="Arial" w:eastAsia="Arial" w:hAnsi="Arial" w:cs="Arial"/>
          <w:sz w:val="18"/>
          <w:szCs w:val="18"/>
          <w:lang w:val="en-GB" w:bidi="en-GB"/>
        </w:rPr>
        <w:t xml:space="preserve">The confirmation of assignment shall be handed over to the Client at the same time as commencement of the assignment or as soon as possible thereafter. The confirmation consists of two parts; Part I contains specific information that must be adjusted to each assignment. Part II contains the law firm’s general terms and conditions, which do not need to be adjusted to each assignment. Please note that customer due diligence measures must be implemented </w:t>
      </w:r>
      <w:r w:rsidR="00D94E9D" w:rsidRPr="00D60318">
        <w:rPr>
          <w:rFonts w:ascii="Arial" w:eastAsia="Arial" w:hAnsi="Arial" w:cs="Arial"/>
          <w:sz w:val="18"/>
          <w:szCs w:val="18"/>
          <w:u w:val="single"/>
          <w:lang w:val="en-GB" w:bidi="en-GB"/>
        </w:rPr>
        <w:t>at the latest</w:t>
      </w:r>
      <w:r w:rsidR="00D94E9D" w:rsidRPr="00D60318">
        <w:rPr>
          <w:rFonts w:ascii="Arial" w:eastAsia="Arial" w:hAnsi="Arial" w:cs="Arial"/>
          <w:sz w:val="18"/>
          <w:szCs w:val="18"/>
          <w:lang w:val="en-GB" w:bidi="en-GB"/>
        </w:rPr>
        <w:t xml:space="preserve"> when the confirmation of assignment is sent to the Client, cf. section 4-1 (5) of the Anti-Money Laundering Act. </w:t>
      </w:r>
    </w:p>
  </w:footnote>
  <w:footnote w:id="2">
    <w:p w14:paraId="09A51DCC" w14:textId="77777777" w:rsidR="00344991" w:rsidRPr="00D60318" w:rsidRDefault="00344991" w:rsidP="00D60318">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r>
      <w:r w:rsidR="004C5836">
        <w:rPr>
          <w:rFonts w:ascii="Arial" w:eastAsia="Arial" w:hAnsi="Arial" w:cs="Arial"/>
          <w:sz w:val="18"/>
          <w:szCs w:val="18"/>
          <w:lang w:val="en-GB" w:bidi="en-GB"/>
        </w:rPr>
        <w:t>C</w:t>
      </w:r>
      <w:r w:rsidRPr="00D60318">
        <w:rPr>
          <w:rFonts w:ascii="Arial" w:eastAsia="Arial" w:hAnsi="Arial" w:cs="Arial"/>
          <w:sz w:val="18"/>
          <w:szCs w:val="18"/>
          <w:lang w:val="en-GB" w:bidi="en-GB"/>
        </w:rPr>
        <w:t>f. section 232 of the Courts of Justice Act.</w:t>
      </w:r>
    </w:p>
  </w:footnote>
  <w:footnote w:id="3">
    <w:p w14:paraId="1E74CE23" w14:textId="77777777" w:rsidR="00344991" w:rsidRPr="00D60318" w:rsidRDefault="00344991" w:rsidP="009130A5">
      <w:pPr>
        <w:ind w:left="284" w:hanging="284"/>
        <w:rPr>
          <w:rFonts w:ascii="Arial" w:hAnsi="Arial" w:cs="Arial"/>
          <w:sz w:val="18"/>
          <w:szCs w:val="20"/>
        </w:rPr>
      </w:pPr>
      <w:r w:rsidRPr="00D60318">
        <w:rPr>
          <w:rStyle w:val="Fotnotereferanse"/>
          <w:rFonts w:ascii="Arial" w:eastAsia="Arial" w:hAnsi="Arial" w:cs="Arial"/>
          <w:sz w:val="18"/>
          <w:szCs w:val="20"/>
          <w:lang w:val="en-GB" w:bidi="en-GB"/>
        </w:rPr>
        <w:footnoteRef/>
      </w:r>
      <w:r w:rsidRPr="00D60318">
        <w:rPr>
          <w:rFonts w:ascii="Arial" w:eastAsia="Arial" w:hAnsi="Arial" w:cs="Arial"/>
          <w:sz w:val="18"/>
          <w:szCs w:val="20"/>
          <w:lang w:val="en-GB" w:bidi="en-GB"/>
        </w:rPr>
        <w:t xml:space="preserve"> </w:t>
      </w:r>
      <w:r w:rsidRPr="00D60318">
        <w:rPr>
          <w:rFonts w:ascii="Arial" w:eastAsia="Arial" w:hAnsi="Arial" w:cs="Arial"/>
          <w:sz w:val="18"/>
          <w:szCs w:val="20"/>
          <w:lang w:val="en-GB" w:bidi="en-GB"/>
        </w:rPr>
        <w:tab/>
        <w:t xml:space="preserve">For example, “drawing up a will”, “representation in a child welfare case for the County Board of Child Welfare and Social Affairs”, “process assignments for the court in action for damages”, or “ongoing legal advice”. It may be specified whether the assignment involves legal action or only advice. </w:t>
      </w:r>
    </w:p>
  </w:footnote>
  <w:footnote w:id="4">
    <w:p w14:paraId="0214E2F2" w14:textId="77777777" w:rsidR="00344991" w:rsidRPr="00D60318" w:rsidRDefault="00344991" w:rsidP="009130A5">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0055689E">
        <w:rPr>
          <w:rFonts w:ascii="Arial" w:eastAsia="Arial" w:hAnsi="Arial" w:cs="Arial"/>
          <w:sz w:val="18"/>
          <w:szCs w:val="18"/>
          <w:lang w:val="en-GB" w:bidi="en-GB"/>
        </w:rPr>
        <w:t xml:space="preserve"> </w:t>
      </w:r>
      <w:r w:rsidR="0055689E">
        <w:rPr>
          <w:rFonts w:ascii="Arial" w:eastAsia="Arial" w:hAnsi="Arial" w:cs="Arial"/>
          <w:sz w:val="18"/>
          <w:szCs w:val="18"/>
          <w:lang w:val="en-GB" w:bidi="en-GB"/>
        </w:rPr>
        <w:tab/>
        <w:t xml:space="preserve">The current fees that apply to the assignment must be seen in context with the general terms and conditions in Part II, section 3 regarding calculation of fees. </w:t>
      </w:r>
    </w:p>
  </w:footnote>
  <w:footnote w:id="5">
    <w:p w14:paraId="7653034D" w14:textId="77777777" w:rsidR="00EC6911" w:rsidRDefault="00EC6911" w:rsidP="009130A5">
      <w:pPr>
        <w:pStyle w:val="Fotnotetekst"/>
        <w:ind w:left="284" w:hanging="284"/>
      </w:pPr>
      <w:r w:rsidRPr="009130A5">
        <w:rPr>
          <w:rStyle w:val="Fotnotereferanse"/>
          <w:rFonts w:ascii="Arial" w:eastAsia="Arial" w:hAnsi="Arial" w:cs="Arial"/>
          <w:sz w:val="18"/>
          <w:szCs w:val="18"/>
          <w:lang w:val="en-GB" w:bidi="en-GB"/>
        </w:rPr>
        <w:footnoteRef/>
      </w:r>
      <w:r w:rsidR="009130A5">
        <w:rPr>
          <w:lang w:val="en-GB" w:bidi="en-GB"/>
        </w:rPr>
        <w:t xml:space="preserve"> </w:t>
      </w:r>
      <w:r w:rsidR="009130A5">
        <w:rPr>
          <w:lang w:val="en-GB" w:bidi="en-GB"/>
        </w:rPr>
        <w:tab/>
      </w:r>
      <w:r w:rsidR="004C5836">
        <w:rPr>
          <w:rFonts w:ascii="Arial" w:eastAsia="Arial" w:hAnsi="Arial" w:cs="Arial"/>
          <w:sz w:val="18"/>
          <w:szCs w:val="18"/>
          <w:lang w:val="en-GB" w:bidi="en-GB"/>
        </w:rPr>
        <w:t>In consumer law</w:t>
      </w:r>
      <w:r w:rsidRPr="00D60318">
        <w:rPr>
          <w:rFonts w:ascii="Arial" w:eastAsia="Arial" w:hAnsi="Arial" w:cs="Arial"/>
          <w:sz w:val="18"/>
          <w:szCs w:val="18"/>
          <w:lang w:val="en-GB" w:bidi="en-GB"/>
        </w:rPr>
        <w:t xml:space="preserve"> matters, the </w:t>
      </w:r>
      <w:r w:rsidR="004C5836">
        <w:rPr>
          <w:rFonts w:ascii="Arial" w:eastAsia="Arial" w:hAnsi="Arial" w:cs="Arial"/>
          <w:sz w:val="18"/>
          <w:szCs w:val="18"/>
          <w:lang w:val="en-GB" w:bidi="en-GB"/>
        </w:rPr>
        <w:t>fees stated must</w:t>
      </w:r>
      <w:r w:rsidRPr="00D60318">
        <w:rPr>
          <w:rFonts w:ascii="Arial" w:eastAsia="Arial" w:hAnsi="Arial" w:cs="Arial"/>
          <w:sz w:val="18"/>
          <w:szCs w:val="18"/>
          <w:lang w:val="en-GB" w:bidi="en-GB"/>
        </w:rPr>
        <w:t xml:space="preserve"> include VAT, cf. section 3 of the Price Information Regulations.</w:t>
      </w:r>
    </w:p>
  </w:footnote>
  <w:footnote w:id="6">
    <w:p w14:paraId="69B29350" w14:textId="77777777" w:rsidR="00023C64" w:rsidRDefault="00023C64" w:rsidP="009130A5">
      <w:pPr>
        <w:pStyle w:val="Fotnotetekst"/>
        <w:ind w:left="284" w:hanging="284"/>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t xml:space="preserve">A fixed price for the assignment may be an option. For shorter assignments, it will be natural to invoice collectively at the end of the assignment. Prepayment of fees may be agreed. </w:t>
      </w:r>
    </w:p>
  </w:footnote>
  <w:footnote w:id="7">
    <w:p w14:paraId="02CA5C07" w14:textId="77777777" w:rsidR="00344991" w:rsidRPr="00D60318" w:rsidRDefault="00344991" w:rsidP="00D60318">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t>cf. section 6-13 (1) letter d and section 10-5 (2) of the Dispute Act.</w:t>
      </w:r>
    </w:p>
  </w:footnote>
  <w:footnote w:id="8">
    <w:p w14:paraId="2839249A" w14:textId="77777777" w:rsidR="00344991" w:rsidRPr="008F70D5" w:rsidRDefault="00344991" w:rsidP="00D60318">
      <w:pPr>
        <w:pStyle w:val="Fotnotetekst"/>
        <w:ind w:left="284" w:hanging="284"/>
        <w:rPr>
          <w:rFonts w:ascii="Arial" w:hAnsi="Arial" w:cs="Arial"/>
        </w:rPr>
      </w:pPr>
      <w:r w:rsidRPr="00D60318">
        <w:rPr>
          <w:rStyle w:val="Fotnotereferanse"/>
          <w:rFonts w:ascii="Arial" w:eastAsia="Arial" w:hAnsi="Arial" w:cs="Arial"/>
          <w:sz w:val="18"/>
          <w:szCs w:val="18"/>
          <w:lang w:val="en-GB" w:bidi="en-GB"/>
        </w:rPr>
        <w:footnoteRef/>
      </w:r>
      <w:r w:rsidR="0035402A">
        <w:rPr>
          <w:rFonts w:ascii="Arial" w:eastAsia="Arial" w:hAnsi="Arial" w:cs="Arial"/>
          <w:sz w:val="18"/>
          <w:szCs w:val="18"/>
          <w:lang w:val="en-GB" w:bidi="en-GB"/>
        </w:rPr>
        <w:t xml:space="preserve"> </w:t>
      </w:r>
      <w:r w:rsidR="0035402A">
        <w:rPr>
          <w:rFonts w:ascii="Arial" w:eastAsia="Arial" w:hAnsi="Arial" w:cs="Arial"/>
          <w:sz w:val="18"/>
          <w:szCs w:val="18"/>
          <w:lang w:val="en-GB" w:bidi="en-GB"/>
        </w:rPr>
        <w:tab/>
        <w:t xml:space="preserve">Section 3.4 of the Code of Conduct for Lawyers requires the attorney to inform the Client of existing opportunities for public legal aid or legal aid insurance. </w:t>
      </w:r>
    </w:p>
  </w:footnote>
  <w:footnote w:id="9">
    <w:p w14:paraId="333DFA4C" w14:textId="77777777" w:rsidR="00344991" w:rsidRPr="00D60318" w:rsidRDefault="00344991" w:rsidP="00D60318">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0055689E">
        <w:rPr>
          <w:rFonts w:ascii="Arial" w:eastAsia="Arial" w:hAnsi="Arial" w:cs="Arial"/>
          <w:sz w:val="18"/>
          <w:szCs w:val="18"/>
          <w:lang w:val="en-GB" w:bidi="en-GB"/>
        </w:rPr>
        <w:t xml:space="preserve"> </w:t>
      </w:r>
      <w:r w:rsidR="0055689E">
        <w:rPr>
          <w:rFonts w:ascii="Arial" w:eastAsia="Arial" w:hAnsi="Arial" w:cs="Arial"/>
          <w:sz w:val="18"/>
          <w:szCs w:val="18"/>
          <w:lang w:val="en-GB" w:bidi="en-GB"/>
        </w:rPr>
        <w:tab/>
        <w:t xml:space="preserve">The Law Firm’s liability may be limited in the assignment contract. One possibility is to clarify which factual issues fall outside the assignment contract. Furthermore, the scope of liability may be limited to only </w:t>
      </w:r>
      <w:r w:rsidR="0055689E">
        <w:rPr>
          <w:rFonts w:ascii="Arial" w:eastAsia="Arial" w:hAnsi="Arial" w:cs="Arial"/>
          <w:i/>
          <w:sz w:val="18"/>
          <w:szCs w:val="18"/>
          <w:lang w:val="en-GB" w:bidi="en-GB"/>
        </w:rPr>
        <w:t>direct</w:t>
      </w:r>
      <w:r w:rsidR="0055689E">
        <w:rPr>
          <w:rFonts w:ascii="Arial" w:eastAsia="Arial" w:hAnsi="Arial" w:cs="Arial"/>
          <w:sz w:val="18"/>
          <w:szCs w:val="18"/>
          <w:lang w:val="en-GB" w:bidi="en-GB"/>
        </w:rPr>
        <w:t xml:space="preserve"> loss items, compared to section 67 of the Sales of Goods Act. The liability may be limited in </w:t>
      </w:r>
      <w:r w:rsidR="0055689E">
        <w:rPr>
          <w:rFonts w:ascii="Arial" w:eastAsia="Arial" w:hAnsi="Arial" w:cs="Arial"/>
          <w:i/>
          <w:sz w:val="18"/>
          <w:szCs w:val="18"/>
          <w:lang w:val="en-GB" w:bidi="en-GB"/>
        </w:rPr>
        <w:t>amount</w:t>
      </w:r>
      <w:r w:rsidR="0055689E">
        <w:rPr>
          <w:rFonts w:ascii="Arial" w:eastAsia="Arial" w:hAnsi="Arial" w:cs="Arial"/>
          <w:sz w:val="18"/>
          <w:szCs w:val="18"/>
          <w:lang w:val="en-GB" w:bidi="en-GB"/>
        </w:rPr>
        <w:t xml:space="preserve"> by linking it to the amount the Law Firm’s liability insurance covers at all times. Another possibility is to limit the liability to a </w:t>
      </w:r>
      <w:r w:rsidR="0055689E">
        <w:rPr>
          <w:rFonts w:ascii="Arial" w:eastAsia="Arial" w:hAnsi="Arial" w:cs="Arial"/>
          <w:i/>
          <w:sz w:val="18"/>
          <w:szCs w:val="18"/>
          <w:lang w:val="en-GB" w:bidi="en-GB"/>
        </w:rPr>
        <w:t>factor</w:t>
      </w:r>
      <w:r w:rsidR="0055689E">
        <w:rPr>
          <w:rFonts w:ascii="Arial" w:eastAsia="Arial" w:hAnsi="Arial" w:cs="Arial"/>
          <w:sz w:val="18"/>
          <w:szCs w:val="18"/>
          <w:lang w:val="en-GB" w:bidi="en-GB"/>
        </w:rPr>
        <w:t xml:space="preserve"> of the fee charged for the assignment. In order to balance the terms, including </w:t>
      </w:r>
      <w:r w:rsidR="0055689E">
        <w:rPr>
          <w:rFonts w:ascii="Arial" w:eastAsia="Arial" w:hAnsi="Arial" w:cs="Arial"/>
          <w:i/>
          <w:sz w:val="18"/>
          <w:szCs w:val="18"/>
          <w:lang w:val="en-GB" w:bidi="en-GB"/>
        </w:rPr>
        <w:t>a disclaimer</w:t>
      </w:r>
      <w:r w:rsidR="0055689E">
        <w:rPr>
          <w:rFonts w:ascii="Arial" w:eastAsia="Arial" w:hAnsi="Arial" w:cs="Arial"/>
          <w:sz w:val="18"/>
          <w:szCs w:val="18"/>
          <w:lang w:val="en-GB" w:bidi="en-GB"/>
        </w:rPr>
        <w:t xml:space="preserve"> against the limitations of liability may be considered so that the limitations do not apply to gross negligence or intent on the part of the Law Firm. Liability for losses due to subcontractors’ errors can also be disclaimed. It may be customary to stress that the Law Firm has not provided a binding assessment of the outcome of the case. Please note that policing the reasonableness of the limitations of liability in Client relationships pursuant to section 36 of the Act relating to conclusion of agreements may occur following a specific assessment at the time of fulfilment of the agreement. </w:t>
      </w:r>
    </w:p>
  </w:footnote>
  <w:footnote w:id="10">
    <w:p w14:paraId="6BB7F1A0" w14:textId="77777777" w:rsidR="00B9023E" w:rsidRPr="00D60318" w:rsidRDefault="00B9023E" w:rsidP="00B9023E">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00592A31">
        <w:rPr>
          <w:rFonts w:ascii="Arial" w:eastAsia="Arial" w:hAnsi="Arial" w:cs="Arial"/>
          <w:sz w:val="18"/>
          <w:szCs w:val="18"/>
          <w:lang w:val="en-GB" w:bidi="en-GB"/>
        </w:rPr>
        <w:t xml:space="preserve"> </w:t>
      </w:r>
      <w:r w:rsidR="00592A31">
        <w:rPr>
          <w:rFonts w:ascii="Arial" w:eastAsia="Arial" w:hAnsi="Arial" w:cs="Arial"/>
          <w:sz w:val="18"/>
          <w:szCs w:val="18"/>
          <w:lang w:val="en-GB" w:bidi="en-GB"/>
        </w:rPr>
        <w:tab/>
        <w:t xml:space="preserve">Geographical limitations may result from the terms of the professional liability insurance. </w:t>
      </w:r>
    </w:p>
  </w:footnote>
  <w:footnote w:id="11">
    <w:p w14:paraId="0ABD73ED" w14:textId="77777777" w:rsidR="00344991" w:rsidRPr="00D60318" w:rsidRDefault="00344991" w:rsidP="00D60318">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t>cf. section 211 of the Penal Code.</w:t>
      </w:r>
    </w:p>
  </w:footnote>
  <w:footnote w:id="12">
    <w:p w14:paraId="2114F4AF" w14:textId="77777777" w:rsidR="00344991" w:rsidRPr="00D60318" w:rsidRDefault="00344991" w:rsidP="00D60318">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t>cf. section 2.3.2. of the Code of Conduct for Lawyers.</w:t>
      </w:r>
    </w:p>
  </w:footnote>
  <w:footnote w:id="13">
    <w:p w14:paraId="3BFBB025" w14:textId="77777777" w:rsidR="00344991" w:rsidRPr="008F70D5" w:rsidRDefault="00344991" w:rsidP="00D60318">
      <w:pPr>
        <w:pStyle w:val="Fotnotetekst"/>
        <w:ind w:left="284" w:hanging="284"/>
        <w:rPr>
          <w:rFonts w:ascii="Arial" w:hAnsi="Arial" w:cs="Arial"/>
        </w:rPr>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t xml:space="preserve">Exemptions are laid down in section 26, third paragraph of the Anti-Money Laundering Act. </w:t>
      </w:r>
    </w:p>
  </w:footnote>
  <w:footnote w:id="14">
    <w:p w14:paraId="41A15BB9" w14:textId="77777777" w:rsidR="00344991" w:rsidRPr="00D60318" w:rsidRDefault="00344991" w:rsidP="00D60318">
      <w:pPr>
        <w:pStyle w:val="Fotnotetekst"/>
        <w:ind w:left="284" w:hanging="284"/>
        <w:rPr>
          <w:sz w:val="18"/>
        </w:rPr>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t>cf. section 2.3.3 of the Code of Conduct for Lawyers.</w:t>
      </w:r>
    </w:p>
  </w:footnote>
  <w:footnote w:id="15">
    <w:p w14:paraId="6648B1B4" w14:textId="77777777" w:rsidR="00344991" w:rsidRPr="00D60318" w:rsidRDefault="00344991" w:rsidP="00D60318">
      <w:pPr>
        <w:pStyle w:val="Fotnotetekst"/>
        <w:ind w:left="284" w:hanging="284"/>
        <w:rPr>
          <w:rFonts w:ascii="Arial" w:hAnsi="Arial" w:cs="Arial"/>
          <w:sz w:val="18"/>
        </w:rPr>
      </w:pPr>
      <w:r w:rsidRPr="00D60318">
        <w:rPr>
          <w:rStyle w:val="Fotnotereferanse"/>
          <w:rFonts w:ascii="Arial" w:eastAsia="Arial" w:hAnsi="Arial" w:cs="Arial"/>
          <w:sz w:val="18"/>
          <w:szCs w:val="18"/>
          <w:lang w:val="en-GB" w:bidi="en-GB"/>
        </w:rPr>
        <w:footnoteRef/>
      </w:r>
      <w:r w:rsidRPr="00D60318">
        <w:rPr>
          <w:rFonts w:ascii="Arial" w:eastAsia="Arial" w:hAnsi="Arial" w:cs="Arial"/>
          <w:sz w:val="18"/>
          <w:szCs w:val="18"/>
          <w:lang w:val="en-GB" w:bidi="en-GB"/>
        </w:rPr>
        <w:t xml:space="preserve"> </w:t>
      </w:r>
      <w:r w:rsidRPr="00D60318">
        <w:rPr>
          <w:rFonts w:ascii="Arial" w:eastAsia="Arial" w:hAnsi="Arial" w:cs="Arial"/>
          <w:sz w:val="18"/>
          <w:szCs w:val="18"/>
          <w:lang w:val="en-GB" w:bidi="en-GB"/>
        </w:rPr>
        <w:tab/>
        <w:t xml:space="preserve">cf. GDPR Article 32. </w:t>
      </w:r>
    </w:p>
  </w:footnote>
  <w:footnote w:id="16">
    <w:p w14:paraId="0DD63D01" w14:textId="77777777" w:rsidR="00344991" w:rsidRDefault="00344991" w:rsidP="00D60318">
      <w:pPr>
        <w:pStyle w:val="Fotnotetekst"/>
        <w:ind w:left="284" w:hanging="284"/>
      </w:pPr>
      <w:r w:rsidRPr="00D60318">
        <w:rPr>
          <w:rStyle w:val="Fotnotereferanse"/>
          <w:rFonts w:ascii="Arial" w:eastAsia="Arial" w:hAnsi="Arial" w:cs="Arial"/>
          <w:sz w:val="18"/>
          <w:szCs w:val="18"/>
          <w:lang w:val="en-GB" w:bidi="en-GB"/>
        </w:rPr>
        <w:footnoteRef/>
      </w:r>
      <w:r w:rsidR="00592A31">
        <w:rPr>
          <w:rFonts w:ascii="Arial" w:eastAsia="Arial" w:hAnsi="Arial" w:cs="Arial"/>
          <w:sz w:val="18"/>
          <w:szCs w:val="18"/>
          <w:lang w:val="en-GB" w:bidi="en-GB"/>
        </w:rPr>
        <w:t xml:space="preserve"> </w:t>
      </w:r>
      <w:r w:rsidR="00592A31">
        <w:rPr>
          <w:rFonts w:ascii="Arial" w:eastAsia="Arial" w:hAnsi="Arial" w:cs="Arial"/>
          <w:sz w:val="18"/>
          <w:szCs w:val="18"/>
          <w:lang w:val="en-GB" w:bidi="en-GB"/>
        </w:rPr>
        <w:tab/>
        <w:t xml:space="preserve">The duty of custody is laid down in section 13 of the Accounting Act and section 30 of the Anti-Money Laundering 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0EBE"/>
    <w:multiLevelType w:val="hybridMultilevel"/>
    <w:tmpl w:val="850A63F0"/>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9A81F81"/>
    <w:multiLevelType w:val="hybridMultilevel"/>
    <w:tmpl w:val="A8426AE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C23481F"/>
    <w:multiLevelType w:val="multilevel"/>
    <w:tmpl w:val="45D69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C1F52"/>
    <w:multiLevelType w:val="hybridMultilevel"/>
    <w:tmpl w:val="AACAA916"/>
    <w:lvl w:ilvl="0" w:tplc="0414000F">
      <w:start w:val="4"/>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0B47D6D"/>
    <w:multiLevelType w:val="hybridMultilevel"/>
    <w:tmpl w:val="3F16787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B065EE3"/>
    <w:multiLevelType w:val="hybridMultilevel"/>
    <w:tmpl w:val="ED2EC16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C837EFB"/>
    <w:multiLevelType w:val="hybridMultilevel"/>
    <w:tmpl w:val="FF2E3F1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D027F76"/>
    <w:multiLevelType w:val="multilevel"/>
    <w:tmpl w:val="6DAA7A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3F3813"/>
    <w:multiLevelType w:val="multilevel"/>
    <w:tmpl w:val="FF62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C1B11"/>
    <w:multiLevelType w:val="hybridMultilevel"/>
    <w:tmpl w:val="42949FF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49E061C"/>
    <w:multiLevelType w:val="multilevel"/>
    <w:tmpl w:val="142C48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B4C70"/>
    <w:multiLevelType w:val="hybridMultilevel"/>
    <w:tmpl w:val="397C97B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67A4995"/>
    <w:multiLevelType w:val="multilevel"/>
    <w:tmpl w:val="A4503C5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3D157A"/>
    <w:multiLevelType w:val="hybridMultilevel"/>
    <w:tmpl w:val="4DC63A44"/>
    <w:lvl w:ilvl="0" w:tplc="F33CE986">
      <w:numFmt w:val="decimal"/>
      <w:lvlText w:val="%1."/>
      <w:lvlJc w:val="left"/>
      <w:pPr>
        <w:tabs>
          <w:tab w:val="num" w:pos="720"/>
        </w:tabs>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7BC7828"/>
    <w:multiLevelType w:val="multilevel"/>
    <w:tmpl w:val="E56634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EA2366"/>
    <w:multiLevelType w:val="hybridMultilevel"/>
    <w:tmpl w:val="E7F41DF0"/>
    <w:lvl w:ilvl="0" w:tplc="2A7C5814">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EFE57DB"/>
    <w:multiLevelType w:val="hybridMultilevel"/>
    <w:tmpl w:val="4D7030F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462542E7"/>
    <w:multiLevelType w:val="hybridMultilevel"/>
    <w:tmpl w:val="44561328"/>
    <w:lvl w:ilvl="0" w:tplc="0414000F">
      <w:start w:val="10"/>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49DE0908"/>
    <w:multiLevelType w:val="multilevel"/>
    <w:tmpl w:val="53A67E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5E4A2E"/>
    <w:multiLevelType w:val="hybridMultilevel"/>
    <w:tmpl w:val="AAC008AE"/>
    <w:lvl w:ilvl="0" w:tplc="0414000F">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583B1184"/>
    <w:multiLevelType w:val="hybridMultilevel"/>
    <w:tmpl w:val="8636432C"/>
    <w:lvl w:ilvl="0" w:tplc="0414000F">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15:restartNumberingAfterBreak="0">
    <w:nsid w:val="6AC97AD3"/>
    <w:multiLevelType w:val="hybridMultilevel"/>
    <w:tmpl w:val="DC1E11E6"/>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15:restartNumberingAfterBreak="0">
    <w:nsid w:val="6C6C2853"/>
    <w:multiLevelType w:val="hybridMultilevel"/>
    <w:tmpl w:val="4D14583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1"/>
  </w:num>
  <w:num w:numId="4">
    <w:abstractNumId w:val="1"/>
  </w:num>
  <w:num w:numId="5">
    <w:abstractNumId w:val="19"/>
  </w:num>
  <w:num w:numId="6">
    <w:abstractNumId w:val="11"/>
  </w:num>
  <w:num w:numId="7">
    <w:abstractNumId w:val="5"/>
  </w:num>
  <w:num w:numId="8">
    <w:abstractNumId w:val="20"/>
  </w:num>
  <w:num w:numId="9">
    <w:abstractNumId w:val="9"/>
  </w:num>
  <w:num w:numId="10">
    <w:abstractNumId w:val="17"/>
  </w:num>
  <w:num w:numId="11">
    <w:abstractNumId w:val="6"/>
  </w:num>
  <w:num w:numId="12">
    <w:abstractNumId w:val="3"/>
  </w:num>
  <w:num w:numId="13">
    <w:abstractNumId w:val="16"/>
  </w:num>
  <w:num w:numId="14">
    <w:abstractNumId w:val="22"/>
  </w:num>
  <w:num w:numId="15">
    <w:abstractNumId w:val="13"/>
  </w:num>
  <w:num w:numId="16">
    <w:abstractNumId w:val="12"/>
  </w:num>
  <w:num w:numId="17">
    <w:abstractNumId w:val="18"/>
  </w:num>
  <w:num w:numId="18">
    <w:abstractNumId w:val="8"/>
  </w:num>
  <w:num w:numId="19">
    <w:abstractNumId w:val="15"/>
  </w:num>
  <w:num w:numId="20">
    <w:abstractNumId w:val="7"/>
  </w:num>
  <w:num w:numId="21">
    <w:abstractNumId w:val="14"/>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B0"/>
    <w:rsid w:val="00010989"/>
    <w:rsid w:val="000236B7"/>
    <w:rsid w:val="00023C64"/>
    <w:rsid w:val="00027DE7"/>
    <w:rsid w:val="000311BC"/>
    <w:rsid w:val="00034BE4"/>
    <w:rsid w:val="000513D8"/>
    <w:rsid w:val="00061CCE"/>
    <w:rsid w:val="00077D1B"/>
    <w:rsid w:val="00085963"/>
    <w:rsid w:val="0009281A"/>
    <w:rsid w:val="000A0B63"/>
    <w:rsid w:val="000A6635"/>
    <w:rsid w:val="000A7192"/>
    <w:rsid w:val="000A72A2"/>
    <w:rsid w:val="000B1504"/>
    <w:rsid w:val="000B37F5"/>
    <w:rsid w:val="000B3FCC"/>
    <w:rsid w:val="000B48FD"/>
    <w:rsid w:val="000B5196"/>
    <w:rsid w:val="000C6DCD"/>
    <w:rsid w:val="000D4305"/>
    <w:rsid w:val="000F5A13"/>
    <w:rsid w:val="001115A7"/>
    <w:rsid w:val="00114C47"/>
    <w:rsid w:val="00115FBD"/>
    <w:rsid w:val="00134951"/>
    <w:rsid w:val="00142D6A"/>
    <w:rsid w:val="00150ACA"/>
    <w:rsid w:val="00162413"/>
    <w:rsid w:val="001779D4"/>
    <w:rsid w:val="001847FA"/>
    <w:rsid w:val="00192273"/>
    <w:rsid w:val="0019292F"/>
    <w:rsid w:val="001944D3"/>
    <w:rsid w:val="00194AA5"/>
    <w:rsid w:val="00195DCD"/>
    <w:rsid w:val="001A1090"/>
    <w:rsid w:val="001C0089"/>
    <w:rsid w:val="001C2207"/>
    <w:rsid w:val="001C2E27"/>
    <w:rsid w:val="001D2896"/>
    <w:rsid w:val="001D57D5"/>
    <w:rsid w:val="001E23FC"/>
    <w:rsid w:val="001E6B1E"/>
    <w:rsid w:val="001E747B"/>
    <w:rsid w:val="001F4C1F"/>
    <w:rsid w:val="00200211"/>
    <w:rsid w:val="002146DA"/>
    <w:rsid w:val="002154FF"/>
    <w:rsid w:val="00222797"/>
    <w:rsid w:val="00222DFD"/>
    <w:rsid w:val="00223B9B"/>
    <w:rsid w:val="002305F8"/>
    <w:rsid w:val="00236097"/>
    <w:rsid w:val="002533FA"/>
    <w:rsid w:val="00254187"/>
    <w:rsid w:val="00262936"/>
    <w:rsid w:val="0028610E"/>
    <w:rsid w:val="00293A0F"/>
    <w:rsid w:val="002967AC"/>
    <w:rsid w:val="002A3E57"/>
    <w:rsid w:val="002A5D8E"/>
    <w:rsid w:val="002A73BD"/>
    <w:rsid w:val="002B3E5D"/>
    <w:rsid w:val="002C02D5"/>
    <w:rsid w:val="002D1DC3"/>
    <w:rsid w:val="002D7C52"/>
    <w:rsid w:val="002F1A2D"/>
    <w:rsid w:val="002F2526"/>
    <w:rsid w:val="002F2B09"/>
    <w:rsid w:val="002F2DFA"/>
    <w:rsid w:val="002F524F"/>
    <w:rsid w:val="00303845"/>
    <w:rsid w:val="0030460D"/>
    <w:rsid w:val="00323999"/>
    <w:rsid w:val="00325875"/>
    <w:rsid w:val="00332DB4"/>
    <w:rsid w:val="00334888"/>
    <w:rsid w:val="00334F13"/>
    <w:rsid w:val="00337629"/>
    <w:rsid w:val="00342339"/>
    <w:rsid w:val="00344991"/>
    <w:rsid w:val="0035402A"/>
    <w:rsid w:val="0035549B"/>
    <w:rsid w:val="00381999"/>
    <w:rsid w:val="00382C20"/>
    <w:rsid w:val="003A0689"/>
    <w:rsid w:val="003A1BB1"/>
    <w:rsid w:val="003A35E1"/>
    <w:rsid w:val="003A6863"/>
    <w:rsid w:val="003B58CF"/>
    <w:rsid w:val="003C1A35"/>
    <w:rsid w:val="003D490C"/>
    <w:rsid w:val="00400A75"/>
    <w:rsid w:val="004043F9"/>
    <w:rsid w:val="00412911"/>
    <w:rsid w:val="0041482A"/>
    <w:rsid w:val="0041612C"/>
    <w:rsid w:val="00426F22"/>
    <w:rsid w:val="0043636C"/>
    <w:rsid w:val="00447532"/>
    <w:rsid w:val="004510BB"/>
    <w:rsid w:val="0046134B"/>
    <w:rsid w:val="0046139B"/>
    <w:rsid w:val="00471294"/>
    <w:rsid w:val="00474133"/>
    <w:rsid w:val="00482550"/>
    <w:rsid w:val="00482587"/>
    <w:rsid w:val="00493853"/>
    <w:rsid w:val="004A023D"/>
    <w:rsid w:val="004A4B2A"/>
    <w:rsid w:val="004B27E3"/>
    <w:rsid w:val="004C5836"/>
    <w:rsid w:val="004D2F91"/>
    <w:rsid w:val="004E055F"/>
    <w:rsid w:val="004E0598"/>
    <w:rsid w:val="005009D9"/>
    <w:rsid w:val="0050476E"/>
    <w:rsid w:val="00515A32"/>
    <w:rsid w:val="00516838"/>
    <w:rsid w:val="00522538"/>
    <w:rsid w:val="00524B0C"/>
    <w:rsid w:val="00526A7C"/>
    <w:rsid w:val="005316AE"/>
    <w:rsid w:val="0054262E"/>
    <w:rsid w:val="00543DBF"/>
    <w:rsid w:val="00546F6B"/>
    <w:rsid w:val="00550790"/>
    <w:rsid w:val="00551999"/>
    <w:rsid w:val="00553F90"/>
    <w:rsid w:val="0055689E"/>
    <w:rsid w:val="00563106"/>
    <w:rsid w:val="0056379D"/>
    <w:rsid w:val="00592A31"/>
    <w:rsid w:val="00596CD3"/>
    <w:rsid w:val="005A6401"/>
    <w:rsid w:val="005B53A4"/>
    <w:rsid w:val="005B5F2A"/>
    <w:rsid w:val="005D039A"/>
    <w:rsid w:val="005F2FEE"/>
    <w:rsid w:val="00605E28"/>
    <w:rsid w:val="00614866"/>
    <w:rsid w:val="00621D64"/>
    <w:rsid w:val="00634528"/>
    <w:rsid w:val="00640224"/>
    <w:rsid w:val="00642038"/>
    <w:rsid w:val="0065201D"/>
    <w:rsid w:val="00665BBE"/>
    <w:rsid w:val="00685439"/>
    <w:rsid w:val="00685A66"/>
    <w:rsid w:val="0069118E"/>
    <w:rsid w:val="0069225F"/>
    <w:rsid w:val="00695553"/>
    <w:rsid w:val="00695D1A"/>
    <w:rsid w:val="006A46AD"/>
    <w:rsid w:val="006B0799"/>
    <w:rsid w:val="006B4B98"/>
    <w:rsid w:val="006C20D9"/>
    <w:rsid w:val="006C7302"/>
    <w:rsid w:val="006D4B8A"/>
    <w:rsid w:val="006D5E94"/>
    <w:rsid w:val="006E2018"/>
    <w:rsid w:val="006E22AB"/>
    <w:rsid w:val="006E49B2"/>
    <w:rsid w:val="006E7F0F"/>
    <w:rsid w:val="006F649B"/>
    <w:rsid w:val="00702238"/>
    <w:rsid w:val="00705323"/>
    <w:rsid w:val="00713CDB"/>
    <w:rsid w:val="00715EA9"/>
    <w:rsid w:val="00716257"/>
    <w:rsid w:val="0071660B"/>
    <w:rsid w:val="00720654"/>
    <w:rsid w:val="00736389"/>
    <w:rsid w:val="00747A48"/>
    <w:rsid w:val="007561B4"/>
    <w:rsid w:val="00761F2D"/>
    <w:rsid w:val="007707D2"/>
    <w:rsid w:val="0077415C"/>
    <w:rsid w:val="007820E8"/>
    <w:rsid w:val="00783573"/>
    <w:rsid w:val="00794938"/>
    <w:rsid w:val="007957DF"/>
    <w:rsid w:val="007A2520"/>
    <w:rsid w:val="007A5411"/>
    <w:rsid w:val="007A7393"/>
    <w:rsid w:val="007B1545"/>
    <w:rsid w:val="007D2480"/>
    <w:rsid w:val="007D3A73"/>
    <w:rsid w:val="007D4CCC"/>
    <w:rsid w:val="007D7530"/>
    <w:rsid w:val="007F25BC"/>
    <w:rsid w:val="007F29E0"/>
    <w:rsid w:val="007F37DF"/>
    <w:rsid w:val="007F5FC5"/>
    <w:rsid w:val="00800B6D"/>
    <w:rsid w:val="00804C94"/>
    <w:rsid w:val="00811B15"/>
    <w:rsid w:val="0081312E"/>
    <w:rsid w:val="0082680E"/>
    <w:rsid w:val="00841C0E"/>
    <w:rsid w:val="0084399F"/>
    <w:rsid w:val="00851D04"/>
    <w:rsid w:val="00852A78"/>
    <w:rsid w:val="008554F9"/>
    <w:rsid w:val="00866954"/>
    <w:rsid w:val="008716F6"/>
    <w:rsid w:val="00872B1E"/>
    <w:rsid w:val="00873863"/>
    <w:rsid w:val="00880D8F"/>
    <w:rsid w:val="00881F41"/>
    <w:rsid w:val="00884D1D"/>
    <w:rsid w:val="0088629B"/>
    <w:rsid w:val="00886A23"/>
    <w:rsid w:val="00891AD2"/>
    <w:rsid w:val="00892ECE"/>
    <w:rsid w:val="008B148F"/>
    <w:rsid w:val="008B673F"/>
    <w:rsid w:val="008B6E2A"/>
    <w:rsid w:val="008C18D0"/>
    <w:rsid w:val="008C2434"/>
    <w:rsid w:val="008D0924"/>
    <w:rsid w:val="008D48A7"/>
    <w:rsid w:val="008E0516"/>
    <w:rsid w:val="008E2EC1"/>
    <w:rsid w:val="008F0204"/>
    <w:rsid w:val="008F0DC9"/>
    <w:rsid w:val="008F36D7"/>
    <w:rsid w:val="008F70D5"/>
    <w:rsid w:val="00912FE7"/>
    <w:rsid w:val="009130A5"/>
    <w:rsid w:val="0091778D"/>
    <w:rsid w:val="00923F84"/>
    <w:rsid w:val="00947F25"/>
    <w:rsid w:val="00961B38"/>
    <w:rsid w:val="009657B0"/>
    <w:rsid w:val="009701CB"/>
    <w:rsid w:val="00972DBB"/>
    <w:rsid w:val="009752C2"/>
    <w:rsid w:val="00982CF6"/>
    <w:rsid w:val="009A0DD1"/>
    <w:rsid w:val="009A709A"/>
    <w:rsid w:val="009B041D"/>
    <w:rsid w:val="009B22FB"/>
    <w:rsid w:val="009B2FDD"/>
    <w:rsid w:val="009B3E61"/>
    <w:rsid w:val="009B46C1"/>
    <w:rsid w:val="009C1701"/>
    <w:rsid w:val="009C1D72"/>
    <w:rsid w:val="009C7CE1"/>
    <w:rsid w:val="009D770E"/>
    <w:rsid w:val="009E04B0"/>
    <w:rsid w:val="009E7A11"/>
    <w:rsid w:val="009F5306"/>
    <w:rsid w:val="009F605C"/>
    <w:rsid w:val="00A033BC"/>
    <w:rsid w:val="00A03CCB"/>
    <w:rsid w:val="00A05200"/>
    <w:rsid w:val="00A05406"/>
    <w:rsid w:val="00A07639"/>
    <w:rsid w:val="00A17AD6"/>
    <w:rsid w:val="00A30D78"/>
    <w:rsid w:val="00A31606"/>
    <w:rsid w:val="00A41376"/>
    <w:rsid w:val="00A50C1A"/>
    <w:rsid w:val="00A51CA2"/>
    <w:rsid w:val="00A5587C"/>
    <w:rsid w:val="00A720FE"/>
    <w:rsid w:val="00A72774"/>
    <w:rsid w:val="00A74FCE"/>
    <w:rsid w:val="00A76185"/>
    <w:rsid w:val="00A84EBA"/>
    <w:rsid w:val="00A85F85"/>
    <w:rsid w:val="00A9142C"/>
    <w:rsid w:val="00AA4102"/>
    <w:rsid w:val="00AA427D"/>
    <w:rsid w:val="00AB0050"/>
    <w:rsid w:val="00AB229D"/>
    <w:rsid w:val="00AB671F"/>
    <w:rsid w:val="00AC6662"/>
    <w:rsid w:val="00AD3445"/>
    <w:rsid w:val="00AE633F"/>
    <w:rsid w:val="00AE67A7"/>
    <w:rsid w:val="00AE782D"/>
    <w:rsid w:val="00AF4701"/>
    <w:rsid w:val="00AF5639"/>
    <w:rsid w:val="00B0005C"/>
    <w:rsid w:val="00B010AE"/>
    <w:rsid w:val="00B05B3B"/>
    <w:rsid w:val="00B15290"/>
    <w:rsid w:val="00B17687"/>
    <w:rsid w:val="00B21A48"/>
    <w:rsid w:val="00B304C7"/>
    <w:rsid w:val="00B31826"/>
    <w:rsid w:val="00B44670"/>
    <w:rsid w:val="00B5123D"/>
    <w:rsid w:val="00B7081E"/>
    <w:rsid w:val="00B73368"/>
    <w:rsid w:val="00B75D10"/>
    <w:rsid w:val="00B9023E"/>
    <w:rsid w:val="00BA69AB"/>
    <w:rsid w:val="00BB4C3F"/>
    <w:rsid w:val="00BC4982"/>
    <w:rsid w:val="00BC7945"/>
    <w:rsid w:val="00BD118C"/>
    <w:rsid w:val="00BD3FF3"/>
    <w:rsid w:val="00BE3466"/>
    <w:rsid w:val="00BE6CBA"/>
    <w:rsid w:val="00BE779E"/>
    <w:rsid w:val="00BF0375"/>
    <w:rsid w:val="00C0066C"/>
    <w:rsid w:val="00C045C8"/>
    <w:rsid w:val="00C04E52"/>
    <w:rsid w:val="00C06F11"/>
    <w:rsid w:val="00C12882"/>
    <w:rsid w:val="00C12A1D"/>
    <w:rsid w:val="00C204AC"/>
    <w:rsid w:val="00C24F25"/>
    <w:rsid w:val="00C2758D"/>
    <w:rsid w:val="00C41CAA"/>
    <w:rsid w:val="00C60510"/>
    <w:rsid w:val="00C744B0"/>
    <w:rsid w:val="00C748C9"/>
    <w:rsid w:val="00C74FA9"/>
    <w:rsid w:val="00C75763"/>
    <w:rsid w:val="00C87E29"/>
    <w:rsid w:val="00CA4A1F"/>
    <w:rsid w:val="00CC2F63"/>
    <w:rsid w:val="00CC3A76"/>
    <w:rsid w:val="00CC5543"/>
    <w:rsid w:val="00CD62E8"/>
    <w:rsid w:val="00CE67C8"/>
    <w:rsid w:val="00CF0FE7"/>
    <w:rsid w:val="00CF603F"/>
    <w:rsid w:val="00D20E36"/>
    <w:rsid w:val="00D2186B"/>
    <w:rsid w:val="00D3046D"/>
    <w:rsid w:val="00D35487"/>
    <w:rsid w:val="00D42815"/>
    <w:rsid w:val="00D60318"/>
    <w:rsid w:val="00D65559"/>
    <w:rsid w:val="00D77FB0"/>
    <w:rsid w:val="00D816F5"/>
    <w:rsid w:val="00D84026"/>
    <w:rsid w:val="00D8699D"/>
    <w:rsid w:val="00D94D4C"/>
    <w:rsid w:val="00D94E9D"/>
    <w:rsid w:val="00DA2ED2"/>
    <w:rsid w:val="00DA5FDE"/>
    <w:rsid w:val="00DB2E36"/>
    <w:rsid w:val="00DC7D9A"/>
    <w:rsid w:val="00DD57DE"/>
    <w:rsid w:val="00DF0C39"/>
    <w:rsid w:val="00DF670C"/>
    <w:rsid w:val="00E0096B"/>
    <w:rsid w:val="00E25895"/>
    <w:rsid w:val="00E34C8A"/>
    <w:rsid w:val="00E36475"/>
    <w:rsid w:val="00E44F6E"/>
    <w:rsid w:val="00E62C9E"/>
    <w:rsid w:val="00E64AE9"/>
    <w:rsid w:val="00E77467"/>
    <w:rsid w:val="00E82F1F"/>
    <w:rsid w:val="00EA714D"/>
    <w:rsid w:val="00EB541A"/>
    <w:rsid w:val="00EC6911"/>
    <w:rsid w:val="00ED65B0"/>
    <w:rsid w:val="00EE3B27"/>
    <w:rsid w:val="00EF25A7"/>
    <w:rsid w:val="00EF2DCF"/>
    <w:rsid w:val="00EF414C"/>
    <w:rsid w:val="00F03601"/>
    <w:rsid w:val="00F0573A"/>
    <w:rsid w:val="00F13BD8"/>
    <w:rsid w:val="00F16668"/>
    <w:rsid w:val="00F20586"/>
    <w:rsid w:val="00F309D7"/>
    <w:rsid w:val="00F36B08"/>
    <w:rsid w:val="00F379A8"/>
    <w:rsid w:val="00F418F7"/>
    <w:rsid w:val="00F61364"/>
    <w:rsid w:val="00F62EF3"/>
    <w:rsid w:val="00F7337A"/>
    <w:rsid w:val="00F73AF2"/>
    <w:rsid w:val="00F9747A"/>
    <w:rsid w:val="00FA1016"/>
    <w:rsid w:val="00FA38C4"/>
    <w:rsid w:val="00FA6C38"/>
    <w:rsid w:val="00FB5851"/>
    <w:rsid w:val="00FC24F9"/>
    <w:rsid w:val="00FC2524"/>
    <w:rsid w:val="00FE20D0"/>
    <w:rsid w:val="00FE54B9"/>
    <w:rsid w:val="00FF1FD0"/>
    <w:rsid w:val="00FF45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342B1"/>
  <w15:chartTrackingRefBased/>
  <w15:docId w15:val="{18D5A0A9-469A-4451-A2CE-4B3A2636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4B0"/>
    <w:rPr>
      <w:sz w:val="24"/>
      <w:szCs w:val="24"/>
    </w:rPr>
  </w:style>
  <w:style w:type="paragraph" w:styleId="Overskrift3">
    <w:name w:val="heading 3"/>
    <w:basedOn w:val="Normal"/>
    <w:next w:val="Normal"/>
    <w:qFormat/>
    <w:rsid w:val="0082680E"/>
    <w:pPr>
      <w:keepNext/>
      <w:jc w:val="center"/>
      <w:outlineLvl w:val="2"/>
    </w:pPr>
    <w:rPr>
      <w:rFonts w:ascii="Arial" w:hAnsi="Arial" w:cs="Arial"/>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9E04B0"/>
    <w:pPr>
      <w:tabs>
        <w:tab w:val="center" w:pos="4536"/>
        <w:tab w:val="right" w:pos="9072"/>
      </w:tabs>
    </w:pPr>
  </w:style>
  <w:style w:type="paragraph" w:styleId="Fotnotetekst">
    <w:name w:val="footnote text"/>
    <w:basedOn w:val="Normal"/>
    <w:semiHidden/>
    <w:rsid w:val="009E04B0"/>
    <w:rPr>
      <w:sz w:val="20"/>
      <w:szCs w:val="20"/>
    </w:rPr>
  </w:style>
  <w:style w:type="character" w:styleId="Fotnotereferanse">
    <w:name w:val="footnote reference"/>
    <w:semiHidden/>
    <w:rsid w:val="009E04B0"/>
    <w:rPr>
      <w:vertAlign w:val="superscript"/>
    </w:rPr>
  </w:style>
  <w:style w:type="character" w:styleId="Hyperkobling">
    <w:name w:val="Hyperlink"/>
    <w:rsid w:val="007957DF"/>
    <w:rPr>
      <w:color w:val="0000FF"/>
      <w:u w:val="single"/>
    </w:rPr>
  </w:style>
  <w:style w:type="paragraph" w:styleId="Listeavsnitt">
    <w:name w:val="List Paragraph"/>
    <w:basedOn w:val="Normal"/>
    <w:uiPriority w:val="34"/>
    <w:qFormat/>
    <w:rsid w:val="00FF1FD0"/>
    <w:pPr>
      <w:ind w:left="708"/>
    </w:pPr>
  </w:style>
  <w:style w:type="character" w:styleId="Utheving">
    <w:name w:val="Emphasis"/>
    <w:basedOn w:val="Standardskriftforavsnitt"/>
    <w:qFormat/>
    <w:rsid w:val="0082680E"/>
    <w:rPr>
      <w:i/>
      <w:iCs/>
    </w:rPr>
  </w:style>
  <w:style w:type="character" w:styleId="Sterk">
    <w:name w:val="Strong"/>
    <w:basedOn w:val="Standardskriftforavsnitt"/>
    <w:qFormat/>
    <w:rsid w:val="000A7192"/>
    <w:rPr>
      <w:b/>
      <w:bCs/>
    </w:rPr>
  </w:style>
  <w:style w:type="paragraph" w:styleId="Tittel">
    <w:name w:val="Title"/>
    <w:basedOn w:val="Normal"/>
    <w:next w:val="Normal"/>
    <w:link w:val="TittelTegn"/>
    <w:qFormat/>
    <w:rsid w:val="000A719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rsid w:val="000A7192"/>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qFormat/>
    <w:rsid w:val="000A7192"/>
    <w:pPr>
      <w:spacing w:after="60"/>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rsid w:val="000A719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8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vokatenhjelperde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2208</Words>
  <Characters>11235</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OPPDRAGSBEKREFTELSE</vt:lpstr>
    </vt:vector>
  </TitlesOfParts>
  <Company>Juristenes Hus</Company>
  <LinksUpToDate>false</LinksUpToDate>
  <CharactersWithSpaces>13417</CharactersWithSpaces>
  <SharedDoc>false</SharedDoc>
  <HLinks>
    <vt:vector size="6" baseType="variant">
      <vt:variant>
        <vt:i4>7078004</vt:i4>
      </vt:variant>
      <vt:variant>
        <vt:i4>0</vt:i4>
      </vt:variant>
      <vt:variant>
        <vt:i4>0</vt:i4>
      </vt:variant>
      <vt:variant>
        <vt:i4>5</vt:i4>
      </vt:variant>
      <vt:variant>
        <vt:lpwstr>http://www.advokatenhjelperdeg.no/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OPPDRAGSBEKREFTELSE</dc:title>
  <dc:subject/>
  <dc:creator>JRA</dc:creator>
  <cp:keywords/>
  <cp:lastModifiedBy>Madeleine Engh</cp:lastModifiedBy>
  <cp:revision>8</cp:revision>
  <cp:lastPrinted>2010-02-19T13:11:00Z</cp:lastPrinted>
  <dcterms:created xsi:type="dcterms:W3CDTF">2019-12-16T12:52:00Z</dcterms:created>
  <dcterms:modified xsi:type="dcterms:W3CDTF">2021-05-06T11:58:00Z</dcterms:modified>
</cp:coreProperties>
</file>